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9"/>
        <w:gridCol w:w="7262"/>
        <w:gridCol w:w="11"/>
      </w:tblGrid>
      <w:tr w:rsidR="00133827" w:rsidRPr="00133827" w14:paraId="1322FB04" w14:textId="77777777" w:rsidTr="00133827">
        <w:trPr>
          <w:gridAfter w:val="1"/>
          <w:wAfter w:w="11" w:type="dxa"/>
          <w:trHeight w:val="397"/>
          <w:jc w:val="center"/>
        </w:trPr>
        <w:tc>
          <w:tcPr>
            <w:tcW w:w="3260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296E2BD6" w14:textId="77777777" w:rsidR="00133827" w:rsidRPr="00133827" w:rsidRDefault="00133827" w:rsidP="00133827">
            <w:pPr>
              <w:rPr>
                <w:b/>
              </w:rPr>
            </w:pPr>
            <w:r w:rsidRPr="00133827">
              <w:rPr>
                <w:b/>
              </w:rPr>
              <w:t>2. Ausbildungsjahr</w:t>
            </w:r>
          </w:p>
        </w:tc>
        <w:tc>
          <w:tcPr>
            <w:tcW w:w="11301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02946CEA" w14:textId="4F2CEC0B" w:rsidR="00133827" w:rsidRPr="00133827" w:rsidRDefault="00133827" w:rsidP="00133827">
            <w:r>
              <w:t>Bankkaufmann / Bankkauffrau</w:t>
            </w:r>
          </w:p>
        </w:tc>
      </w:tr>
      <w:tr w:rsidR="00133827" w:rsidRPr="00133827" w14:paraId="5720B784" w14:textId="77777777" w:rsidTr="00133827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4004902A" w14:textId="77777777" w:rsidR="00133827" w:rsidRPr="00133827" w:rsidRDefault="00133827" w:rsidP="00133827">
            <w:pPr>
              <w:spacing w:before="60" w:after="60"/>
              <w:jc w:val="left"/>
              <w:rPr>
                <w:rFonts w:ascii="Calibri" w:hAnsi="Calibri"/>
                <w:b/>
              </w:rPr>
            </w:pPr>
            <w:r w:rsidRPr="00133827">
              <w:rPr>
                <w:rFonts w:ascii="Calibri" w:hAnsi="Calibri"/>
                <w:b/>
              </w:rPr>
              <w:t>Bündelungsfach</w:t>
            </w:r>
          </w:p>
        </w:tc>
        <w:tc>
          <w:tcPr>
            <w:tcW w:w="11312" w:type="dxa"/>
            <w:gridSpan w:val="3"/>
            <w:shd w:val="clear" w:color="auto" w:fill="auto"/>
          </w:tcPr>
          <w:p w14:paraId="0A1B5F39" w14:textId="01D843B8" w:rsidR="00133827" w:rsidRPr="00133827" w:rsidRDefault="00133827" w:rsidP="00133827">
            <w:pPr>
              <w:spacing w:before="60" w:after="60"/>
              <w:jc w:val="lef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Finanzierung und Darlehen</w:t>
            </w:r>
          </w:p>
        </w:tc>
      </w:tr>
      <w:tr w:rsidR="00133827" w:rsidRPr="00133827" w14:paraId="65064F5C" w14:textId="77777777" w:rsidTr="00133827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1D2D2A6E" w14:textId="534AB95D" w:rsidR="00133827" w:rsidRPr="00133827" w:rsidRDefault="00133827" w:rsidP="00FA23AA">
            <w:pPr>
              <w:spacing w:before="60" w:after="60"/>
              <w:jc w:val="left"/>
              <w:rPr>
                <w:rFonts w:ascii="Calibri" w:hAnsi="Calibri"/>
                <w:b/>
              </w:rPr>
            </w:pPr>
            <w:r w:rsidRPr="00133827">
              <w:rPr>
                <w:rFonts w:ascii="Calibri" w:hAnsi="Calibri"/>
                <w:b/>
              </w:rPr>
              <w:t xml:space="preserve">Lernfeld </w:t>
            </w:r>
            <w:r w:rsidR="00FA23AA">
              <w:rPr>
                <w:rFonts w:ascii="Calibri" w:hAnsi="Calibri"/>
                <w:b/>
                <w:i/>
              </w:rPr>
              <w:t>9</w:t>
            </w:r>
          </w:p>
        </w:tc>
        <w:tc>
          <w:tcPr>
            <w:tcW w:w="11312" w:type="dxa"/>
            <w:gridSpan w:val="3"/>
            <w:shd w:val="clear" w:color="auto" w:fill="auto"/>
          </w:tcPr>
          <w:p w14:paraId="68C191E1" w14:textId="2F9106BF" w:rsidR="00133827" w:rsidRPr="00133827" w:rsidRDefault="00133827" w:rsidP="00133827">
            <w:pPr>
              <w:spacing w:before="60" w:after="6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Baufinanzierung abschließen</w:t>
            </w:r>
            <w:r w:rsidRPr="00133827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6</w:t>
            </w:r>
            <w:r w:rsidRPr="00133827">
              <w:rPr>
                <w:rFonts w:ascii="Calibri" w:hAnsi="Calibri"/>
              </w:rPr>
              <w:t>0 UStd.)</w:t>
            </w:r>
          </w:p>
        </w:tc>
      </w:tr>
      <w:tr w:rsidR="00133827" w:rsidRPr="00133827" w14:paraId="16F241EA" w14:textId="77777777" w:rsidTr="00133827">
        <w:trPr>
          <w:trHeight w:val="396"/>
          <w:jc w:val="center"/>
        </w:trPr>
        <w:tc>
          <w:tcPr>
            <w:tcW w:w="3260" w:type="dxa"/>
            <w:shd w:val="clear" w:color="auto" w:fill="auto"/>
          </w:tcPr>
          <w:p w14:paraId="3E1F6878" w14:textId="720F53E3" w:rsidR="00133827" w:rsidRPr="00133827" w:rsidRDefault="00133827" w:rsidP="00FA23AA">
            <w:pPr>
              <w:spacing w:before="60" w:after="60"/>
              <w:jc w:val="left"/>
              <w:rPr>
                <w:rFonts w:ascii="Calibri" w:hAnsi="Calibri"/>
                <w:b/>
              </w:rPr>
            </w:pPr>
            <w:r w:rsidRPr="00133827">
              <w:rPr>
                <w:rFonts w:ascii="Calibri" w:hAnsi="Calibri"/>
                <w:b/>
              </w:rPr>
              <w:t xml:space="preserve">Lernsituation </w:t>
            </w:r>
            <w:r w:rsidR="00FA23AA">
              <w:rPr>
                <w:rFonts w:ascii="Calibri" w:hAnsi="Calibri"/>
                <w:b/>
                <w:i/>
              </w:rPr>
              <w:t>9</w:t>
            </w:r>
            <w:bookmarkStart w:id="0" w:name="_GoBack"/>
            <w:bookmarkEnd w:id="0"/>
            <w:r w:rsidRPr="00133827">
              <w:rPr>
                <w:rFonts w:ascii="Calibri" w:hAnsi="Calibri"/>
                <w:b/>
                <w:i/>
              </w:rPr>
              <w:t>.2</w:t>
            </w:r>
          </w:p>
        </w:tc>
        <w:tc>
          <w:tcPr>
            <w:tcW w:w="11312" w:type="dxa"/>
            <w:gridSpan w:val="3"/>
            <w:shd w:val="clear" w:color="auto" w:fill="auto"/>
          </w:tcPr>
          <w:p w14:paraId="55F79A96" w14:textId="3E7D5435" w:rsidR="00133827" w:rsidRPr="00133827" w:rsidRDefault="00133827" w:rsidP="00133827">
            <w:pPr>
              <w:spacing w:before="60" w:after="6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Beratungs- und Verkaufsgespräche führen</w:t>
            </w:r>
            <w:r w:rsidRPr="00133827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8</w:t>
            </w:r>
            <w:r w:rsidRPr="00133827">
              <w:rPr>
                <w:rFonts w:ascii="Calibri" w:hAnsi="Calibri"/>
              </w:rPr>
              <w:t xml:space="preserve"> UStd.)</w:t>
            </w:r>
          </w:p>
        </w:tc>
      </w:tr>
      <w:tr w:rsidR="00496163" w:rsidRPr="00133827" w14:paraId="4DA2106F" w14:textId="77777777">
        <w:trPr>
          <w:trHeight w:val="1814"/>
          <w:jc w:val="center"/>
        </w:trPr>
        <w:tc>
          <w:tcPr>
            <w:tcW w:w="7299" w:type="dxa"/>
            <w:gridSpan w:val="2"/>
          </w:tcPr>
          <w:p w14:paraId="3DE15D8D" w14:textId="77777777" w:rsidR="00496163" w:rsidRPr="00133827" w:rsidRDefault="00496163" w:rsidP="004E410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 xml:space="preserve">Einstiegsszenario </w:t>
            </w:r>
          </w:p>
          <w:p w14:paraId="09CECB8F" w14:textId="601DB3F1" w:rsidR="00496163" w:rsidRPr="00133827" w:rsidRDefault="00496163" w:rsidP="004E410B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Vor einigen</w:t>
            </w:r>
            <w:r w:rsidR="00995E68" w:rsidRPr="00133827">
              <w:rPr>
                <w:rFonts w:asciiTheme="minorHAnsi" w:hAnsiTheme="minorHAnsi" w:cstheme="minorHAnsi"/>
              </w:rPr>
              <w:t xml:space="preserve"> Tagen teilten Ihnen Ihre </w:t>
            </w:r>
            <w:r w:rsidR="00995E68" w:rsidRPr="00B70D9F">
              <w:rPr>
                <w:rFonts w:asciiTheme="minorHAnsi" w:hAnsiTheme="minorHAnsi" w:cstheme="minorHAnsi"/>
              </w:rPr>
              <w:t>Kundin</w:t>
            </w:r>
            <w:r w:rsidRPr="00B70D9F">
              <w:rPr>
                <w:rFonts w:asciiTheme="minorHAnsi" w:hAnsiTheme="minorHAnsi" w:cstheme="minorHAnsi"/>
              </w:rPr>
              <w:t xml:space="preserve"> Petra </w:t>
            </w:r>
            <w:r w:rsidR="00995E68" w:rsidRPr="00B70D9F">
              <w:rPr>
                <w:rFonts w:asciiTheme="minorHAnsi" w:hAnsiTheme="minorHAnsi" w:cstheme="minorHAnsi"/>
              </w:rPr>
              <w:t xml:space="preserve">Stein </w:t>
            </w:r>
            <w:r w:rsidRPr="00B70D9F">
              <w:rPr>
                <w:rFonts w:asciiTheme="minorHAnsi" w:hAnsiTheme="minorHAnsi" w:cstheme="minorHAnsi"/>
              </w:rPr>
              <w:t xml:space="preserve">und </w:t>
            </w:r>
            <w:r w:rsidR="00995E68" w:rsidRPr="00B70D9F">
              <w:rPr>
                <w:rFonts w:asciiTheme="minorHAnsi" w:hAnsiTheme="minorHAnsi" w:cstheme="minorHAnsi"/>
              </w:rPr>
              <w:t>Ihr Kunde</w:t>
            </w:r>
            <w:r w:rsidR="00995E68" w:rsidRPr="00133827">
              <w:rPr>
                <w:rFonts w:asciiTheme="minorHAnsi" w:hAnsiTheme="minorHAnsi" w:cstheme="minorHAnsi"/>
              </w:rPr>
              <w:t xml:space="preserve"> </w:t>
            </w:r>
            <w:r w:rsidRPr="00133827">
              <w:rPr>
                <w:rFonts w:asciiTheme="minorHAnsi" w:hAnsiTheme="minorHAnsi" w:cstheme="minorHAnsi"/>
              </w:rPr>
              <w:t>Klaus Stein mit, dass sie den Bau eines Einfamilienhauses planen. In diesem Zusammenhang haben Sie mit dem Ehepaar Stein einen Termin für ein erstes Beratu</w:t>
            </w:r>
            <w:r w:rsidR="00995E68" w:rsidRPr="00133827">
              <w:rPr>
                <w:rFonts w:asciiTheme="minorHAnsi" w:hAnsiTheme="minorHAnsi" w:cstheme="minorHAnsi"/>
              </w:rPr>
              <w:t>ngsgespräch vereinbart, um mit i</w:t>
            </w:r>
            <w:r w:rsidRPr="00133827">
              <w:rPr>
                <w:rFonts w:asciiTheme="minorHAnsi" w:hAnsiTheme="minorHAnsi" w:cstheme="minorHAnsi"/>
              </w:rPr>
              <w:t>hnen einen Finanzie</w:t>
            </w:r>
            <w:r w:rsidR="00995E68" w:rsidRPr="00133827">
              <w:rPr>
                <w:rFonts w:asciiTheme="minorHAnsi" w:hAnsiTheme="minorHAnsi" w:cstheme="minorHAnsi"/>
              </w:rPr>
              <w:t>rungsplan zu erstellen und mit i</w:t>
            </w:r>
            <w:r w:rsidRPr="00133827">
              <w:rPr>
                <w:rFonts w:asciiTheme="minorHAnsi" w:hAnsiTheme="minorHAnsi" w:cstheme="minorHAnsi"/>
              </w:rPr>
              <w:t>hnen über die für eine Kreditfinanzierung benötigte Unterlagen zu sprechen.</w:t>
            </w:r>
          </w:p>
        </w:tc>
        <w:tc>
          <w:tcPr>
            <w:tcW w:w="7273" w:type="dxa"/>
            <w:gridSpan w:val="2"/>
          </w:tcPr>
          <w:p w14:paraId="5D63DE8D" w14:textId="77777777" w:rsidR="00496163" w:rsidRPr="00133827" w:rsidRDefault="00496163" w:rsidP="00C3497F">
            <w:pPr>
              <w:pStyle w:val="Tabellenberschrift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Handlungsprodukt/Lernergebnis</w:t>
            </w:r>
          </w:p>
          <w:p w14:paraId="5B5DAA80" w14:textId="77777777" w:rsidR="00496163" w:rsidRPr="00133827" w:rsidRDefault="00496163" w:rsidP="004E410B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</w:t>
            </w:r>
            <w:r w:rsidRPr="00133827">
              <w:rPr>
                <w:rFonts w:asciiTheme="minorHAnsi" w:hAnsiTheme="minorHAnsi" w:cstheme="minorHAnsi"/>
              </w:rPr>
              <w:tab/>
              <w:t xml:space="preserve">digitale </w:t>
            </w:r>
            <w:proofErr w:type="spellStart"/>
            <w:r w:rsidRPr="00133827">
              <w:rPr>
                <w:rFonts w:asciiTheme="minorHAnsi" w:hAnsiTheme="minorHAnsi" w:cstheme="minorHAnsi"/>
              </w:rPr>
              <w:t>Pinnwännde</w:t>
            </w:r>
            <w:proofErr w:type="spellEnd"/>
            <w:r w:rsidRPr="00133827">
              <w:rPr>
                <w:rFonts w:asciiTheme="minorHAnsi" w:hAnsiTheme="minorHAnsi" w:cstheme="minorHAnsi"/>
              </w:rPr>
              <w:t xml:space="preserve"> mit wichtigen Informationen</w:t>
            </w:r>
          </w:p>
          <w:p w14:paraId="3362E431" w14:textId="77777777" w:rsidR="00496163" w:rsidRPr="00133827" w:rsidRDefault="00496163" w:rsidP="004E410B">
            <w:pPr>
              <w:pStyle w:val="Tabellentext"/>
              <w:tabs>
                <w:tab w:val="left" w:pos="181"/>
              </w:tabs>
              <w:spacing w:before="0"/>
              <w:ind w:left="335" w:hanging="335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ab/>
              <w:t>• zur Führung eines situationsgerechten Beratungs- und Verkaufsgesprächs</w:t>
            </w:r>
          </w:p>
          <w:p w14:paraId="73D8F0A8" w14:textId="77777777" w:rsidR="00496163" w:rsidRPr="00133827" w:rsidRDefault="00496163" w:rsidP="004E410B">
            <w:pPr>
              <w:pStyle w:val="Tabellentext"/>
              <w:tabs>
                <w:tab w:val="left" w:pos="181"/>
              </w:tabs>
              <w:spacing w:before="0"/>
              <w:ind w:left="335" w:hanging="335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ab/>
              <w:t>• zu den vom Kreditinstitut im Rahmen einer Kreditfinanzierung benötigte Unterlagen</w:t>
            </w:r>
          </w:p>
          <w:p w14:paraId="64955A76" w14:textId="77777777" w:rsidR="00496163" w:rsidRPr="00133827" w:rsidRDefault="00496163" w:rsidP="004E410B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ab/>
              <w:t>• über den Aufbau und die Inhalte eines Finanzierungsplans</w:t>
            </w:r>
          </w:p>
          <w:p w14:paraId="50BC3D67" w14:textId="77777777" w:rsidR="00496163" w:rsidRPr="00133827" w:rsidRDefault="00496163" w:rsidP="00C3497F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</w:rPr>
              <w:t>ggf. Hinweise zur Lernerfolgsüberprüfung und Leistungsbewertung</w:t>
            </w:r>
          </w:p>
          <w:p w14:paraId="608C7EC5" w14:textId="77777777" w:rsidR="00496163" w:rsidRPr="00133827" w:rsidRDefault="00496163" w:rsidP="004E410B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Bewertung der digitalen Pinnwände</w:t>
            </w:r>
          </w:p>
          <w:p w14:paraId="08E82A0E" w14:textId="77777777" w:rsidR="00496163" w:rsidRPr="00133827" w:rsidRDefault="00496163" w:rsidP="004E410B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</w:t>
            </w:r>
            <w:r w:rsidRPr="00133827">
              <w:rPr>
                <w:rFonts w:asciiTheme="minorHAnsi" w:hAnsiTheme="minorHAnsi" w:cstheme="minorHAnsi"/>
              </w:rPr>
              <w:tab/>
              <w:t>Z. B. Übungen aus dem eingeführten Lehrbuch, Einsatz von Übungsaufgaben in Anlehnung an frühere Abschlussprüfungen.</w:t>
            </w:r>
          </w:p>
        </w:tc>
      </w:tr>
      <w:tr w:rsidR="00496163" w:rsidRPr="00133827" w14:paraId="588BDC4F" w14:textId="77777777">
        <w:trPr>
          <w:trHeight w:val="1814"/>
          <w:jc w:val="center"/>
        </w:trPr>
        <w:tc>
          <w:tcPr>
            <w:tcW w:w="7299" w:type="dxa"/>
            <w:gridSpan w:val="2"/>
          </w:tcPr>
          <w:p w14:paraId="5D5D58C0" w14:textId="77777777" w:rsidR="00496163" w:rsidRPr="00133827" w:rsidRDefault="00496163" w:rsidP="004E410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</w:rPr>
              <w:t>Wesentliche Kompetenzen</w:t>
            </w:r>
          </w:p>
          <w:p w14:paraId="6122A334" w14:textId="77777777" w:rsidR="00496163" w:rsidRPr="00133827" w:rsidRDefault="00496163" w:rsidP="004E410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8DBD97C" w14:textId="77777777" w:rsidR="00496163" w:rsidRPr="00133827" w:rsidRDefault="00496163" w:rsidP="00073348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</w:rPr>
              <w:t>Deutsch/Kommunikatio</w:t>
            </w:r>
            <w:r w:rsidRPr="00133827">
              <w:rPr>
                <w:rFonts w:asciiTheme="minorHAnsi" w:hAnsiTheme="minorHAnsi" w:cstheme="minorHAnsi"/>
                <w:b w:val="0"/>
                <w:bCs w:val="0"/>
              </w:rPr>
              <w:t>n</w:t>
            </w:r>
          </w:p>
          <w:p w14:paraId="75332A7B" w14:textId="77777777" w:rsidR="00496163" w:rsidRPr="00133827" w:rsidRDefault="00496163" w:rsidP="00073348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>Die Schülerinnen und Schüler</w:t>
            </w:r>
          </w:p>
          <w:p w14:paraId="46F1B8FA" w14:textId="77777777" w:rsidR="00496163" w:rsidRPr="00133827" w:rsidRDefault="00496163" w:rsidP="00F30F07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>– planen ihre eigene Arbeitsweise.</w:t>
            </w:r>
          </w:p>
          <w:p w14:paraId="4252383F" w14:textId="77777777" w:rsidR="00496163" w:rsidRPr="00133827" w:rsidRDefault="00496163" w:rsidP="004E410B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</w:t>
            </w:r>
            <w:r w:rsidRPr="00133827">
              <w:rPr>
                <w:rFonts w:asciiTheme="minorHAnsi" w:hAnsiTheme="minorHAnsi" w:cstheme="minorHAnsi"/>
              </w:rPr>
              <w:tab/>
              <w:t>informieren sich über geeignete Techniken der Gesprächs- und der Verhandlungsführung.</w:t>
            </w:r>
          </w:p>
          <w:p w14:paraId="6744922A" w14:textId="77777777" w:rsidR="00496163" w:rsidRPr="00133827" w:rsidRDefault="00496163" w:rsidP="004E410B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</w:t>
            </w:r>
            <w:r w:rsidRPr="00133827">
              <w:rPr>
                <w:rFonts w:asciiTheme="minorHAnsi" w:hAnsiTheme="minorHAnsi" w:cstheme="minorHAnsi"/>
              </w:rPr>
              <w:tab/>
              <w:t xml:space="preserve">führen Beratungs- und Verkaufsgespräche </w:t>
            </w:r>
            <w:r w:rsidRPr="00133827">
              <w:rPr>
                <w:rFonts w:asciiTheme="minorHAnsi" w:hAnsiTheme="minorHAnsi" w:cstheme="minorHAnsi"/>
                <w:color w:val="007EC5"/>
              </w:rPr>
              <w:t>unter Nutzung geeigneter Medien</w:t>
            </w:r>
            <w:r w:rsidRPr="00133827">
              <w:rPr>
                <w:rFonts w:asciiTheme="minorHAnsi" w:hAnsiTheme="minorHAnsi" w:cstheme="minorHAnsi"/>
              </w:rPr>
              <w:t>.</w:t>
            </w:r>
          </w:p>
          <w:p w14:paraId="4CA847D3" w14:textId="77777777" w:rsidR="00496163" w:rsidRPr="00133827" w:rsidRDefault="00496163" w:rsidP="00650421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>– reagieren situationsgerecht auf Kundeneinwände.</w:t>
            </w:r>
          </w:p>
          <w:p w14:paraId="6ED83913" w14:textId="6E8D11B8" w:rsidR="00496163" w:rsidRPr="00133827" w:rsidRDefault="00496163" w:rsidP="00650421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 xml:space="preserve">– </w:t>
            </w:r>
            <w:r w:rsidRPr="00133827">
              <w:rPr>
                <w:rFonts w:asciiTheme="minorHAnsi" w:hAnsiTheme="minorHAnsi" w:cstheme="minorHAnsi"/>
                <w:b w:val="0"/>
                <w:bCs w:val="0"/>
                <w:color w:val="007EC5"/>
              </w:rPr>
              <w:t>erstellen digitale Pinnwände je Arbeitsgruppe zur Zusammenführung</w:t>
            </w:r>
            <w:r w:rsidRPr="00133827">
              <w:rPr>
                <w:rFonts w:asciiTheme="minorHAnsi" w:hAnsiTheme="minorHAnsi" w:cstheme="minorHAnsi"/>
                <w:b w:val="0"/>
                <w:bCs w:val="0"/>
                <w:color w:val="007EC5"/>
              </w:rPr>
              <w:br/>
              <w:t xml:space="preserve">   der Einzelergebnisse und zur Präsentation vor der Lerngruppe</w:t>
            </w:r>
            <w:r w:rsidR="00995E68" w:rsidRPr="00133827">
              <w:rPr>
                <w:rFonts w:asciiTheme="minorHAnsi" w:hAnsiTheme="minorHAnsi" w:cstheme="minorHAnsi"/>
                <w:b w:val="0"/>
                <w:bCs w:val="0"/>
                <w:color w:val="007EC5"/>
              </w:rPr>
              <w:t>.</w:t>
            </w:r>
          </w:p>
          <w:p w14:paraId="78127C6B" w14:textId="77777777" w:rsidR="00496163" w:rsidRPr="00133827" w:rsidRDefault="00496163" w:rsidP="00073348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  <w:color w:val="ED7D31"/>
              </w:rPr>
              <w:lastRenderedPageBreak/>
              <w:t>– bewerten und reflektieren ihren medialen Arbeitsprozess</w:t>
            </w:r>
            <w:r w:rsidRPr="00133827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  <w:p w14:paraId="783C1213" w14:textId="77777777" w:rsidR="00496163" w:rsidRPr="00133827" w:rsidRDefault="00496163" w:rsidP="00650421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</w:t>
            </w:r>
            <w:r w:rsidRPr="00133827">
              <w:rPr>
                <w:rFonts w:asciiTheme="minorHAnsi" w:hAnsiTheme="minorHAnsi" w:cstheme="minorHAnsi"/>
              </w:rPr>
              <w:tab/>
              <w:t>bewerten und reflektieren ihr Arbeitsergebnis, auch unter dem Aspekt der Kundenorientierung.</w:t>
            </w:r>
          </w:p>
          <w:p w14:paraId="338E50D3" w14:textId="77777777" w:rsidR="00496163" w:rsidRPr="00133827" w:rsidRDefault="00496163" w:rsidP="00650421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</w:p>
          <w:p w14:paraId="75BF741C" w14:textId="77777777" w:rsidR="00496163" w:rsidRPr="00133827" w:rsidRDefault="00496163" w:rsidP="004E410B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  <w:b/>
                <w:bCs/>
              </w:rPr>
            </w:pPr>
            <w:r w:rsidRPr="00133827">
              <w:rPr>
                <w:rFonts w:asciiTheme="minorHAnsi" w:hAnsiTheme="minorHAnsi" w:cstheme="minorHAnsi"/>
                <w:b/>
                <w:bCs/>
              </w:rPr>
              <w:t>Finanzierungen und Darlehen</w:t>
            </w:r>
          </w:p>
          <w:p w14:paraId="4CD63E9F" w14:textId="77777777" w:rsidR="00496163" w:rsidRPr="00133827" w:rsidRDefault="00496163" w:rsidP="00575FEC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>Die Schülerinnen und Schüler</w:t>
            </w:r>
          </w:p>
          <w:p w14:paraId="522D3BB1" w14:textId="77777777" w:rsidR="00496163" w:rsidRPr="00133827" w:rsidRDefault="00496163" w:rsidP="00575FEC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>– beurteilen Baufinanzierungswünsche und prüfen deren Umsetzbarkeit.</w:t>
            </w:r>
          </w:p>
          <w:p w14:paraId="2C57DEA7" w14:textId="77777777" w:rsidR="00496163" w:rsidRPr="00133827" w:rsidRDefault="00496163" w:rsidP="00575FEC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>– analysieren staatliche Förderprogramme.</w:t>
            </w:r>
          </w:p>
          <w:p w14:paraId="42056EFB" w14:textId="77777777" w:rsidR="00496163" w:rsidRPr="00133827" w:rsidRDefault="00496163" w:rsidP="00575FEC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>– ermitteln den Gesamtfinanzierungsbedarf</w:t>
            </w:r>
          </w:p>
          <w:p w14:paraId="657F6381" w14:textId="77777777" w:rsidR="00496163" w:rsidRPr="00133827" w:rsidRDefault="00496163" w:rsidP="00BA13A4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>– entwickeln Finanzierungsvarianten.</w:t>
            </w:r>
          </w:p>
          <w:p w14:paraId="63194146" w14:textId="77777777" w:rsidR="00496163" w:rsidRPr="00133827" w:rsidRDefault="00496163" w:rsidP="004E410B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erstellen eine Übersicht über benötigte Unterlagen und können deren Notwendigkeit begründen.</w:t>
            </w:r>
          </w:p>
          <w:p w14:paraId="5AEA0C78" w14:textId="77777777" w:rsidR="00496163" w:rsidRPr="00133827" w:rsidRDefault="00490AB0" w:rsidP="007B67C7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  <w:highlight w:val="green"/>
              </w:rPr>
              <w:t>–</w:t>
            </w:r>
            <w:r w:rsidRPr="00133827">
              <w:rPr>
                <w:rFonts w:asciiTheme="minorHAnsi" w:hAnsiTheme="minorHAnsi" w:cstheme="minorHAnsi"/>
              </w:rPr>
              <w:t xml:space="preserve"> </w:t>
            </w:r>
            <w:r w:rsidR="00496163" w:rsidRPr="00133827">
              <w:rPr>
                <w:rFonts w:asciiTheme="minorHAnsi" w:hAnsiTheme="minorHAnsi" w:cstheme="minorHAnsi"/>
              </w:rPr>
              <w:t>weisen auf Serviceangebote, Dienstleistungen und ergänzende Produkte hin.</w:t>
            </w:r>
          </w:p>
          <w:p w14:paraId="5FED42F7" w14:textId="77777777" w:rsidR="00496163" w:rsidRPr="00133827" w:rsidRDefault="00496163" w:rsidP="007B67C7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 xml:space="preserve">– </w:t>
            </w:r>
            <w:r w:rsidRPr="00133827">
              <w:rPr>
                <w:rFonts w:asciiTheme="minorHAnsi" w:hAnsiTheme="minorHAnsi" w:cstheme="minorHAnsi"/>
                <w:color w:val="4CB848"/>
              </w:rPr>
              <w:t>entwerfen alternative Finanzierungspläne unter Nutzung eines Textverarbeitungsprogramms</w:t>
            </w:r>
            <w:r w:rsidR="00995E68" w:rsidRPr="00133827">
              <w:rPr>
                <w:rFonts w:asciiTheme="minorHAnsi" w:hAnsiTheme="minorHAnsi" w:cstheme="minorHAnsi"/>
                <w:color w:val="4CB848"/>
              </w:rPr>
              <w:t>.</w:t>
            </w:r>
          </w:p>
        </w:tc>
        <w:tc>
          <w:tcPr>
            <w:tcW w:w="7273" w:type="dxa"/>
            <w:gridSpan w:val="2"/>
          </w:tcPr>
          <w:p w14:paraId="2C2EE2BC" w14:textId="77777777" w:rsidR="00496163" w:rsidRPr="00133827" w:rsidRDefault="00496163" w:rsidP="004E410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</w:rPr>
              <w:lastRenderedPageBreak/>
              <w:t>Konkretisierung der Inhalte</w:t>
            </w:r>
          </w:p>
          <w:p w14:paraId="1DBD1A72" w14:textId="77777777" w:rsidR="00496163" w:rsidRPr="00133827" w:rsidRDefault="00496163" w:rsidP="006C2D06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AAC3A36" w14:textId="77777777" w:rsidR="00496163" w:rsidRPr="00133827" w:rsidRDefault="00496163" w:rsidP="006C2D06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3C422FAA" w14:textId="77777777" w:rsidR="00496163" w:rsidRPr="00133827" w:rsidRDefault="00496163" w:rsidP="006C2D06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522B64F3" w14:textId="77777777" w:rsidR="00496163" w:rsidRPr="00133827" w:rsidRDefault="00496163" w:rsidP="006C2D06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>– Phasen des Beratungs-/Verkaufsgesprächs</w:t>
            </w:r>
          </w:p>
          <w:p w14:paraId="65CC9019" w14:textId="77777777" w:rsidR="00496163" w:rsidRPr="00133827" w:rsidRDefault="00496163" w:rsidP="006C2D06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>– Techniken der Gesprächsführung</w:t>
            </w:r>
          </w:p>
          <w:p w14:paraId="73C0F668" w14:textId="77777777" w:rsidR="00496163" w:rsidRPr="00133827" w:rsidRDefault="00496163" w:rsidP="00BA7F37">
            <w:pPr>
              <w:pStyle w:val="Tabellenberschrift"/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  <w:b w:val="0"/>
                <w:bCs w:val="0"/>
              </w:rPr>
              <w:t>– Nonverbale und verbale Kommunikation</w:t>
            </w:r>
          </w:p>
          <w:p w14:paraId="4CB9E021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jc w:val="left"/>
              <w:rPr>
                <w:rFonts w:asciiTheme="minorHAnsi" w:hAnsiTheme="minorHAnsi" w:cstheme="minorHAnsi"/>
              </w:rPr>
            </w:pPr>
          </w:p>
          <w:p w14:paraId="11D81EA5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jc w:val="left"/>
              <w:rPr>
                <w:rFonts w:asciiTheme="minorHAnsi" w:hAnsiTheme="minorHAnsi" w:cstheme="minorHAnsi"/>
              </w:rPr>
            </w:pPr>
          </w:p>
          <w:p w14:paraId="2B1C4C73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jc w:val="left"/>
              <w:rPr>
                <w:rFonts w:asciiTheme="minorHAnsi" w:hAnsiTheme="minorHAnsi" w:cstheme="minorHAnsi"/>
              </w:rPr>
            </w:pPr>
          </w:p>
          <w:p w14:paraId="77ADAD91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jc w:val="left"/>
              <w:rPr>
                <w:rFonts w:asciiTheme="minorHAnsi" w:hAnsiTheme="minorHAnsi" w:cstheme="minorHAnsi"/>
              </w:rPr>
            </w:pPr>
          </w:p>
          <w:p w14:paraId="5CE8930D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jc w:val="left"/>
              <w:rPr>
                <w:rFonts w:asciiTheme="minorHAnsi" w:hAnsiTheme="minorHAnsi" w:cstheme="minorHAnsi"/>
              </w:rPr>
            </w:pPr>
          </w:p>
          <w:p w14:paraId="615E51D5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jc w:val="left"/>
              <w:rPr>
                <w:rFonts w:asciiTheme="minorHAnsi" w:hAnsiTheme="minorHAnsi" w:cstheme="minorHAnsi"/>
              </w:rPr>
            </w:pPr>
          </w:p>
          <w:p w14:paraId="7A7638BC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jc w:val="left"/>
              <w:rPr>
                <w:rFonts w:asciiTheme="minorHAnsi" w:hAnsiTheme="minorHAnsi" w:cstheme="minorHAnsi"/>
              </w:rPr>
            </w:pPr>
          </w:p>
          <w:p w14:paraId="246B74C4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jc w:val="left"/>
              <w:rPr>
                <w:rFonts w:asciiTheme="minorHAnsi" w:hAnsiTheme="minorHAnsi" w:cstheme="minorHAnsi"/>
              </w:rPr>
            </w:pPr>
          </w:p>
          <w:p w14:paraId="496B4F68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jc w:val="left"/>
              <w:rPr>
                <w:rFonts w:asciiTheme="minorHAnsi" w:hAnsiTheme="minorHAnsi" w:cstheme="minorHAnsi"/>
              </w:rPr>
            </w:pPr>
          </w:p>
          <w:p w14:paraId="34D21835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Arten von Eigenmitteln (Kontoguthaben, Wertpapiere, Bausparvertrag)</w:t>
            </w:r>
          </w:p>
          <w:p w14:paraId="7AF77168" w14:textId="77777777" w:rsidR="00496163" w:rsidRPr="00133827" w:rsidRDefault="00496163" w:rsidP="004E410B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Arten von Fremdfinanzierungsmitteln (z. B. Bauspardarlehen, staatliche Förderprogramme)</w:t>
            </w:r>
          </w:p>
          <w:p w14:paraId="01C69FEA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Fördermaßnahmen der Kreditanstalt für Wiederaufbau</w:t>
            </w:r>
          </w:p>
          <w:p w14:paraId="3BF194AC" w14:textId="77777777" w:rsidR="00496163" w:rsidRPr="00133827" w:rsidRDefault="00496163" w:rsidP="004E410B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Objektunterlagen (z. B. Grundbuchauszug, Baubeschreibung, Baukostenaufstellung)</w:t>
            </w:r>
          </w:p>
          <w:p w14:paraId="3DE15AF6" w14:textId="77777777" w:rsidR="00496163" w:rsidRPr="00133827" w:rsidRDefault="00496163" w:rsidP="004E410B">
            <w:pPr>
              <w:pStyle w:val="Tabellenspiegelstrich"/>
              <w:tabs>
                <w:tab w:val="clear" w:pos="340"/>
              </w:tabs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Vermögens- und Einkommensunterlagen</w:t>
            </w:r>
          </w:p>
          <w:p w14:paraId="096B5CFF" w14:textId="77777777" w:rsidR="00496163" w:rsidRPr="00133827" w:rsidRDefault="00496163" w:rsidP="004E410B">
            <w:pPr>
              <w:pStyle w:val="Tabellentext"/>
              <w:spacing w:before="0"/>
              <w:ind w:left="181" w:hanging="181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Arten der Kosten (Baukosten, Baunebenkosten, Kosten der Außenanlagen, Finanzierungsnebenkosten)</w:t>
            </w:r>
          </w:p>
          <w:p w14:paraId="76DB5D01" w14:textId="77777777" w:rsidR="00496163" w:rsidRPr="00133827" w:rsidRDefault="00496163" w:rsidP="004E410B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Notwendige bzw. sinnvolle Versicherungen (Cross-</w:t>
            </w:r>
            <w:proofErr w:type="spellStart"/>
            <w:r w:rsidRPr="00133827">
              <w:rPr>
                <w:rFonts w:asciiTheme="minorHAnsi" w:hAnsiTheme="minorHAnsi" w:cstheme="minorHAnsi"/>
              </w:rPr>
              <w:t>Selling</w:t>
            </w:r>
            <w:proofErr w:type="spellEnd"/>
            <w:r w:rsidRPr="00133827">
              <w:rPr>
                <w:rFonts w:asciiTheme="minorHAnsi" w:hAnsiTheme="minorHAnsi" w:cstheme="minorHAnsi"/>
              </w:rPr>
              <w:t>)</w:t>
            </w:r>
          </w:p>
        </w:tc>
      </w:tr>
      <w:tr w:rsidR="00496163" w:rsidRPr="00133827" w14:paraId="076FDB87" w14:textId="77777777">
        <w:trPr>
          <w:trHeight w:val="964"/>
          <w:jc w:val="center"/>
        </w:trPr>
        <w:tc>
          <w:tcPr>
            <w:tcW w:w="14572" w:type="dxa"/>
            <w:gridSpan w:val="4"/>
          </w:tcPr>
          <w:p w14:paraId="088FA0BD" w14:textId="77777777" w:rsidR="00496163" w:rsidRPr="00133827" w:rsidRDefault="00496163" w:rsidP="004E410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</w:rPr>
              <w:lastRenderedPageBreak/>
              <w:t>Lern- und Arbeitstechniken</w:t>
            </w:r>
          </w:p>
          <w:p w14:paraId="09162491" w14:textId="77777777" w:rsidR="00496163" w:rsidRPr="00133827" w:rsidRDefault="00496163" w:rsidP="001B761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33827">
              <w:rPr>
                <w:rFonts w:asciiTheme="minorHAnsi" w:hAnsiTheme="minorHAnsi" w:cstheme="minorHAnsi"/>
                <w:color w:val="auto"/>
              </w:rPr>
              <w:t xml:space="preserve">– Gruppenarbeit mit zunächst arbeitsteiliger Bearbeitung der aus der Lernsituation abgeleiteten Themen </w:t>
            </w:r>
          </w:p>
          <w:p w14:paraId="3185811B" w14:textId="77777777" w:rsidR="00496163" w:rsidRPr="00133827" w:rsidRDefault="00496163" w:rsidP="001B761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33827">
              <w:rPr>
                <w:rFonts w:asciiTheme="minorHAnsi" w:hAnsiTheme="minorHAnsi" w:cstheme="minorHAnsi"/>
                <w:color w:val="auto"/>
              </w:rPr>
              <w:t>– Anwendung der Ergebnisse in Rollenspielen vor der Lerngruppe (Dokumentation der Beobachtungen)</w:t>
            </w:r>
          </w:p>
          <w:p w14:paraId="69B6A5A6" w14:textId="77777777" w:rsidR="00496163" w:rsidRPr="00133827" w:rsidRDefault="00496163" w:rsidP="001B761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33827">
              <w:rPr>
                <w:rFonts w:asciiTheme="minorHAnsi" w:hAnsiTheme="minorHAnsi" w:cstheme="minorHAnsi"/>
                <w:color w:val="auto"/>
              </w:rPr>
              <w:t>– Reflexion/Feedback der Rollenspiele</w:t>
            </w:r>
          </w:p>
          <w:p w14:paraId="1EFDBE07" w14:textId="77777777" w:rsidR="00496163" w:rsidRPr="00133827" w:rsidRDefault="00496163" w:rsidP="00A906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33827">
              <w:rPr>
                <w:rFonts w:asciiTheme="minorHAnsi" w:hAnsiTheme="minorHAnsi" w:cstheme="minorHAnsi"/>
                <w:color w:val="auto"/>
              </w:rPr>
              <w:t>– Reflexion der Arbeitsprozesse (z. B. mit einer geeigneten Software mittels Smartphone, Tablet oder Laptop)</w:t>
            </w:r>
          </w:p>
        </w:tc>
      </w:tr>
      <w:tr w:rsidR="00496163" w:rsidRPr="00133827" w14:paraId="5C4CF5EE" w14:textId="77777777">
        <w:trPr>
          <w:trHeight w:val="964"/>
          <w:jc w:val="center"/>
        </w:trPr>
        <w:tc>
          <w:tcPr>
            <w:tcW w:w="14572" w:type="dxa"/>
            <w:gridSpan w:val="4"/>
          </w:tcPr>
          <w:p w14:paraId="69457A5F" w14:textId="77777777" w:rsidR="00496163" w:rsidRPr="00133827" w:rsidRDefault="00496163" w:rsidP="004E410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bCs w:val="0"/>
              </w:rPr>
            </w:pPr>
            <w:r w:rsidRPr="00133827">
              <w:rPr>
                <w:rFonts w:asciiTheme="minorHAnsi" w:hAnsiTheme="minorHAnsi" w:cstheme="minorHAnsi"/>
              </w:rPr>
              <w:t>Unterrichtsmaterialien/Fundstelle</w:t>
            </w:r>
          </w:p>
          <w:p w14:paraId="29746E6C" w14:textId="77777777" w:rsidR="00496163" w:rsidRPr="00133827" w:rsidRDefault="00496163" w:rsidP="004E410B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Internetrecherche zu den Themen staatliche Förderprogramme, Objektunterlagen, Arten von Kosten beim Bau eines Hauses u. a.</w:t>
            </w:r>
          </w:p>
          <w:p w14:paraId="72BCEBE4" w14:textId="77777777" w:rsidR="00496163" w:rsidRPr="00133827" w:rsidRDefault="00496163" w:rsidP="004E410B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Fachbuch</w:t>
            </w:r>
          </w:p>
          <w:p w14:paraId="54B26EAE" w14:textId="77777777" w:rsidR="00496163" w:rsidRPr="00133827" w:rsidRDefault="00496163" w:rsidP="004E410B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Beobachtungsbogen (vorgegeben von der Lehrkraft)</w:t>
            </w:r>
          </w:p>
        </w:tc>
      </w:tr>
      <w:tr w:rsidR="00496163" w:rsidRPr="00133827" w14:paraId="2BC79077" w14:textId="77777777">
        <w:trPr>
          <w:trHeight w:val="964"/>
          <w:jc w:val="center"/>
        </w:trPr>
        <w:tc>
          <w:tcPr>
            <w:tcW w:w="14572" w:type="dxa"/>
            <w:gridSpan w:val="4"/>
          </w:tcPr>
          <w:p w14:paraId="0F839ACF" w14:textId="77777777" w:rsidR="00496163" w:rsidRPr="00133827" w:rsidRDefault="00496163" w:rsidP="004E410B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Organisatorische Hinweise</w:t>
            </w:r>
          </w:p>
          <w:p w14:paraId="46D6A787" w14:textId="77777777" w:rsidR="00496163" w:rsidRPr="00133827" w:rsidRDefault="00496163" w:rsidP="004E410B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Internetzugang für die Recherchen</w:t>
            </w:r>
          </w:p>
          <w:p w14:paraId="33E5C5F4" w14:textId="77777777" w:rsidR="00496163" w:rsidRPr="00133827" w:rsidRDefault="00496163" w:rsidP="004E410B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Z. B. Handykameras für das Filmen der Rollenspiele und für die Wiedergabe der Rollenspiele im Plenum</w:t>
            </w:r>
          </w:p>
          <w:p w14:paraId="10E7E84D" w14:textId="77777777" w:rsidR="00496163" w:rsidRPr="00133827" w:rsidRDefault="00496163" w:rsidP="004E410B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  <w:r w:rsidRPr="00133827">
              <w:rPr>
                <w:rFonts w:asciiTheme="minorHAnsi" w:hAnsiTheme="minorHAnsi" w:cstheme="minorHAnsi"/>
              </w:rPr>
              <w:t>– Infrastruktur zur Nutzung von Standardbüroanwendungen (Textverarbeitungsprogramme)</w:t>
            </w:r>
          </w:p>
        </w:tc>
      </w:tr>
    </w:tbl>
    <w:p w14:paraId="21FDEB71" w14:textId="77777777" w:rsidR="00496163" w:rsidRDefault="00496163" w:rsidP="000F273F">
      <w:pPr>
        <w:spacing w:after="0"/>
      </w:pPr>
      <w:r w:rsidRPr="00A9061B">
        <w:rPr>
          <w:color w:val="ED7D31"/>
        </w:rPr>
        <w:lastRenderedPageBreak/>
        <w:t>Medienkompetenz</w:t>
      </w:r>
      <w:r w:rsidRPr="00C658E7">
        <w:rPr>
          <w:color w:val="000000"/>
        </w:rPr>
        <w:t xml:space="preserve">, </w:t>
      </w:r>
      <w:r w:rsidRPr="002F4151">
        <w:rPr>
          <w:color w:val="007EC5"/>
        </w:rPr>
        <w:t>Anwendungs-</w:t>
      </w:r>
      <w:r w:rsidRPr="00113A69">
        <w:rPr>
          <w:color w:val="007EC5"/>
        </w:rPr>
        <w:t>Know</w:t>
      </w:r>
      <w:r w:rsidRPr="002F4151">
        <w:rPr>
          <w:color w:val="007EC5"/>
        </w:rPr>
        <w:t>-how</w:t>
      </w:r>
      <w:r w:rsidRPr="00C658E7">
        <w:rPr>
          <w:color w:val="000000"/>
        </w:rPr>
        <w:t xml:space="preserve">, </w:t>
      </w:r>
      <w:r w:rsidRPr="00C658E7">
        <w:rPr>
          <w:color w:val="4CB848"/>
        </w:rPr>
        <w:t xml:space="preserve">Informatische </w:t>
      </w:r>
      <w:r w:rsidRPr="00C87C43">
        <w:rPr>
          <w:color w:val="4CB848"/>
        </w:rPr>
        <w:t>Grundkenntnisse</w:t>
      </w:r>
      <w:r w:rsidRPr="00C658E7">
        <w:rPr>
          <w:color w:val="4CB848"/>
        </w:rPr>
        <w:t xml:space="preserve"> </w:t>
      </w:r>
      <w:r w:rsidRPr="00C658E7">
        <w:t>(Bitte markieren Sie alle Aussagen zu diesen drei Kompetenzbereichen in den entsprechenden Farben.)</w:t>
      </w:r>
    </w:p>
    <w:p w14:paraId="253E0919" w14:textId="77777777" w:rsidR="00C744F8" w:rsidRDefault="00C744F8" w:rsidP="000F273F">
      <w:pPr>
        <w:spacing w:after="0"/>
      </w:pPr>
    </w:p>
    <w:p w14:paraId="550127DE" w14:textId="6D64DD4F" w:rsidR="00B70D9F" w:rsidRPr="00AA6963" w:rsidRDefault="00B70D9F" w:rsidP="00B70D9F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Name des Berufskollegs:</w:t>
      </w:r>
      <w:r>
        <w:rPr>
          <w:rFonts w:ascii="Calibri" w:hAnsi="Calibri" w:cs="BentonSans-Bold"/>
          <w:b/>
          <w:bCs/>
        </w:rPr>
        <w:t xml:space="preserve"> Leo-</w:t>
      </w:r>
      <w:proofErr w:type="spellStart"/>
      <w:r>
        <w:rPr>
          <w:rFonts w:ascii="Calibri" w:hAnsi="Calibri" w:cs="BentonSans-Bold"/>
          <w:b/>
          <w:bCs/>
        </w:rPr>
        <w:t>Statz</w:t>
      </w:r>
      <w:proofErr w:type="spellEnd"/>
      <w:r>
        <w:rPr>
          <w:rFonts w:ascii="Calibri" w:hAnsi="Calibri" w:cs="BentonSans-Bold"/>
          <w:b/>
          <w:bCs/>
        </w:rPr>
        <w:t>-Berufskolleg</w:t>
      </w:r>
    </w:p>
    <w:p w14:paraId="57EFBCA7" w14:textId="29824727" w:rsidR="00C744F8" w:rsidRDefault="00B70D9F" w:rsidP="00B70D9F">
      <w:pPr>
        <w:spacing w:after="0"/>
      </w:pPr>
      <w:r w:rsidRPr="00AA6963">
        <w:rPr>
          <w:rFonts w:ascii="Calibri" w:hAnsi="Calibri" w:cs="BentonSans-Bold"/>
          <w:b/>
          <w:bCs/>
        </w:rPr>
        <w:t>Autor:</w:t>
      </w:r>
      <w:r>
        <w:rPr>
          <w:rFonts w:ascii="Calibri" w:hAnsi="Calibri" w:cs="BentonSans-Bold"/>
          <w:b/>
          <w:bCs/>
        </w:rPr>
        <w:t xml:space="preserve"> Erhard </w:t>
      </w:r>
      <w:proofErr w:type="spellStart"/>
      <w:r>
        <w:rPr>
          <w:rFonts w:ascii="Calibri" w:hAnsi="Calibri" w:cs="BentonSans-Bold"/>
          <w:b/>
          <w:bCs/>
        </w:rPr>
        <w:t>Sengpiel</w:t>
      </w:r>
      <w:proofErr w:type="spellEnd"/>
    </w:p>
    <w:p w14:paraId="232531D4" w14:textId="5DC4D792" w:rsidR="00C744F8" w:rsidRPr="00C658E7" w:rsidRDefault="00C744F8" w:rsidP="000F273F">
      <w:pPr>
        <w:spacing w:after="0"/>
      </w:pPr>
    </w:p>
    <w:sectPr w:rsidR="00C744F8" w:rsidRPr="00C658E7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BAEB2" w14:textId="77777777" w:rsidR="00E511A3" w:rsidRDefault="00E511A3">
      <w:r>
        <w:separator/>
      </w:r>
    </w:p>
    <w:p w14:paraId="4F19B77B" w14:textId="77777777" w:rsidR="00E511A3" w:rsidRDefault="00E511A3"/>
    <w:p w14:paraId="28A0DB34" w14:textId="77777777" w:rsidR="00E511A3" w:rsidRDefault="00E511A3"/>
  </w:endnote>
  <w:endnote w:type="continuationSeparator" w:id="0">
    <w:p w14:paraId="0A4CB48A" w14:textId="77777777" w:rsidR="00E511A3" w:rsidRDefault="00E511A3">
      <w:r>
        <w:continuationSeparator/>
      </w:r>
    </w:p>
    <w:p w14:paraId="3BB6BD4B" w14:textId="77777777" w:rsidR="00E511A3" w:rsidRDefault="00E511A3"/>
    <w:p w14:paraId="6C88B1B2" w14:textId="77777777" w:rsidR="00E511A3" w:rsidRDefault="00E51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20466" w14:textId="228AC38F" w:rsidR="00496163" w:rsidRPr="00817652" w:rsidRDefault="00496163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136DB3">
      <w:fldChar w:fldCharType="begin"/>
    </w:r>
    <w:r w:rsidR="00136DB3">
      <w:instrText xml:space="preserve"> PAGE  \* Arabic  \* MERGEFORMAT </w:instrText>
    </w:r>
    <w:r w:rsidR="00136DB3">
      <w:fldChar w:fldCharType="separate"/>
    </w:r>
    <w:r w:rsidR="00FA23AA">
      <w:rPr>
        <w:noProof/>
      </w:rPr>
      <w:t>3</w:t>
    </w:r>
    <w:r w:rsidR="00136DB3">
      <w:rPr>
        <w:noProof/>
      </w:rPr>
      <w:fldChar w:fldCharType="end"/>
    </w:r>
    <w:r>
      <w:t xml:space="preserve"> von </w:t>
    </w:r>
    <w:r w:rsidR="0030663D">
      <w:rPr>
        <w:noProof/>
      </w:rPr>
      <w:fldChar w:fldCharType="begin"/>
    </w:r>
    <w:r w:rsidR="0030663D">
      <w:rPr>
        <w:noProof/>
      </w:rPr>
      <w:instrText xml:space="preserve"> NUMPAGES  \* Arabic  \* MERGEFORMAT </w:instrText>
    </w:r>
    <w:r w:rsidR="0030663D">
      <w:rPr>
        <w:noProof/>
      </w:rPr>
      <w:fldChar w:fldCharType="separate"/>
    </w:r>
    <w:r w:rsidR="00FA23AA">
      <w:rPr>
        <w:noProof/>
      </w:rPr>
      <w:t>3</w:t>
    </w:r>
    <w:r w:rsidR="003066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88EC9" w14:textId="77777777" w:rsidR="00E511A3" w:rsidRDefault="00E511A3">
      <w:r>
        <w:separator/>
      </w:r>
    </w:p>
  </w:footnote>
  <w:footnote w:type="continuationSeparator" w:id="0">
    <w:p w14:paraId="2323B1A3" w14:textId="77777777" w:rsidR="00E511A3" w:rsidRDefault="00E511A3">
      <w:r>
        <w:continuationSeparator/>
      </w:r>
    </w:p>
    <w:p w14:paraId="2B6287C4" w14:textId="77777777" w:rsidR="00E511A3" w:rsidRDefault="00E511A3"/>
    <w:p w14:paraId="7DFF43F7" w14:textId="77777777" w:rsidR="00E511A3" w:rsidRDefault="00E51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D8ECB" w14:textId="20A44499" w:rsidR="00B70D9F" w:rsidRPr="00AA6963" w:rsidRDefault="00B70D9F" w:rsidP="00B70D9F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>
      <w:rPr>
        <w:rFonts w:ascii="Calibri" w:hAnsi="Calibri"/>
        <w:b/>
        <w:sz w:val="28"/>
        <w:szCs w:val="28"/>
        <w:u w:val="single"/>
      </w:rPr>
      <w:t xml:space="preserve"> 01.10.2020</w:t>
    </w:r>
  </w:p>
  <w:p w14:paraId="3BE020EA" w14:textId="22EDF06F" w:rsidR="00496163" w:rsidRPr="00B70D9F" w:rsidRDefault="00496163" w:rsidP="00B70D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berschrift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7474ECA"/>
    <w:multiLevelType w:val="hybridMultilevel"/>
    <w:tmpl w:val="27DA28BC"/>
    <w:lvl w:ilvl="0" w:tplc="7D1896C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11E58DC"/>
    <w:multiLevelType w:val="hybridMultilevel"/>
    <w:tmpl w:val="0C9290B0"/>
    <w:lvl w:ilvl="0" w:tplc="625A8AA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FE1699"/>
    <w:multiLevelType w:val="hybridMultilevel"/>
    <w:tmpl w:val="20B6458A"/>
    <w:lvl w:ilvl="0" w:tplc="3738C40E">
      <w:start w:val="1"/>
      <w:numFmt w:val="decimal"/>
      <w:lvlText w:val="1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F1959DB"/>
    <w:multiLevelType w:val="multilevel"/>
    <w:tmpl w:val="6C44FC9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A9D1BA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5950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1B1DD2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F91138"/>
    <w:multiLevelType w:val="hybridMultilevel"/>
    <w:tmpl w:val="99C22F3C"/>
    <w:lvl w:ilvl="0" w:tplc="70E8DEC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"/>
  </w:num>
  <w:num w:numId="17">
    <w:abstractNumId w:val="0"/>
  </w:num>
  <w:num w:numId="18">
    <w:abstractNumId w:val="3"/>
  </w:num>
  <w:num w:numId="19">
    <w:abstractNumId w:val="2"/>
  </w:num>
  <w:num w:numId="20">
    <w:abstractNumId w:val="8"/>
  </w:num>
  <w:num w:numId="21">
    <w:abstractNumId w:val="15"/>
  </w:num>
  <w:num w:numId="22">
    <w:abstractNumId w:val="17"/>
  </w:num>
  <w:num w:numId="23">
    <w:abstractNumId w:val="14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13"/>
  </w:num>
  <w:num w:numId="29">
    <w:abstractNumId w:val="23"/>
  </w:num>
  <w:num w:numId="30">
    <w:abstractNumId w:val="10"/>
  </w:num>
  <w:num w:numId="31">
    <w:abstractNumId w:val="12"/>
  </w:num>
  <w:num w:numId="32">
    <w:abstractNumId w:val="21"/>
  </w:num>
  <w:num w:numId="33">
    <w:abstractNumId w:val="18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5A5C"/>
    <w:rsid w:val="00031C21"/>
    <w:rsid w:val="00032A8E"/>
    <w:rsid w:val="000333BB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234B"/>
    <w:rsid w:val="00063DC6"/>
    <w:rsid w:val="0006490B"/>
    <w:rsid w:val="00064A24"/>
    <w:rsid w:val="00064B89"/>
    <w:rsid w:val="00065829"/>
    <w:rsid w:val="00073348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8CF"/>
    <w:rsid w:val="000F799E"/>
    <w:rsid w:val="000F7C0F"/>
    <w:rsid w:val="00100128"/>
    <w:rsid w:val="00100D82"/>
    <w:rsid w:val="001014AC"/>
    <w:rsid w:val="0011080A"/>
    <w:rsid w:val="001108EB"/>
    <w:rsid w:val="00112164"/>
    <w:rsid w:val="00113A69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827"/>
    <w:rsid w:val="00133DB9"/>
    <w:rsid w:val="0013413B"/>
    <w:rsid w:val="001343FB"/>
    <w:rsid w:val="00136DB3"/>
    <w:rsid w:val="0014002D"/>
    <w:rsid w:val="00140360"/>
    <w:rsid w:val="00142BB4"/>
    <w:rsid w:val="00142FC9"/>
    <w:rsid w:val="00143C31"/>
    <w:rsid w:val="00145EA9"/>
    <w:rsid w:val="00150D2C"/>
    <w:rsid w:val="00152578"/>
    <w:rsid w:val="00152F57"/>
    <w:rsid w:val="001550C4"/>
    <w:rsid w:val="001553AA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B7614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020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A96"/>
    <w:rsid w:val="00257FB6"/>
    <w:rsid w:val="002619E5"/>
    <w:rsid w:val="002639DF"/>
    <w:rsid w:val="00263A44"/>
    <w:rsid w:val="00263B39"/>
    <w:rsid w:val="00265A0B"/>
    <w:rsid w:val="00266CE0"/>
    <w:rsid w:val="00272626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33C3"/>
    <w:rsid w:val="002D4A1D"/>
    <w:rsid w:val="002D556C"/>
    <w:rsid w:val="002D5C87"/>
    <w:rsid w:val="002D7672"/>
    <w:rsid w:val="002D7878"/>
    <w:rsid w:val="002E2044"/>
    <w:rsid w:val="002E3A73"/>
    <w:rsid w:val="002E57C5"/>
    <w:rsid w:val="002E63EB"/>
    <w:rsid w:val="002F4151"/>
    <w:rsid w:val="002F6E52"/>
    <w:rsid w:val="002F7193"/>
    <w:rsid w:val="003000E0"/>
    <w:rsid w:val="003010A3"/>
    <w:rsid w:val="003038C9"/>
    <w:rsid w:val="00304506"/>
    <w:rsid w:val="0030663D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4C9B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806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E69F9"/>
    <w:rsid w:val="003F3787"/>
    <w:rsid w:val="00401D77"/>
    <w:rsid w:val="00401E01"/>
    <w:rsid w:val="004070AD"/>
    <w:rsid w:val="00413319"/>
    <w:rsid w:val="00413BEC"/>
    <w:rsid w:val="004159E4"/>
    <w:rsid w:val="004173A0"/>
    <w:rsid w:val="00421D4C"/>
    <w:rsid w:val="00423880"/>
    <w:rsid w:val="0042489B"/>
    <w:rsid w:val="0042682B"/>
    <w:rsid w:val="00432AA7"/>
    <w:rsid w:val="00435451"/>
    <w:rsid w:val="004358C2"/>
    <w:rsid w:val="00436D90"/>
    <w:rsid w:val="00446399"/>
    <w:rsid w:val="00446584"/>
    <w:rsid w:val="0045006B"/>
    <w:rsid w:val="0045035D"/>
    <w:rsid w:val="004530EC"/>
    <w:rsid w:val="00456362"/>
    <w:rsid w:val="00457CC9"/>
    <w:rsid w:val="00461798"/>
    <w:rsid w:val="00463147"/>
    <w:rsid w:val="00464089"/>
    <w:rsid w:val="00470109"/>
    <w:rsid w:val="004764F6"/>
    <w:rsid w:val="00476EF2"/>
    <w:rsid w:val="00480E5D"/>
    <w:rsid w:val="00481FDF"/>
    <w:rsid w:val="00483DBF"/>
    <w:rsid w:val="00485D7F"/>
    <w:rsid w:val="00490AB0"/>
    <w:rsid w:val="00491506"/>
    <w:rsid w:val="00494E49"/>
    <w:rsid w:val="00496163"/>
    <w:rsid w:val="004970B6"/>
    <w:rsid w:val="0049774F"/>
    <w:rsid w:val="004A0125"/>
    <w:rsid w:val="004A413F"/>
    <w:rsid w:val="004A716B"/>
    <w:rsid w:val="004A79C2"/>
    <w:rsid w:val="004B084D"/>
    <w:rsid w:val="004B117A"/>
    <w:rsid w:val="004B2B82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7B3C"/>
    <w:rsid w:val="004E0CA1"/>
    <w:rsid w:val="004E410B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2F93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5FEC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2EF1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0421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4F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2D06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67C7"/>
    <w:rsid w:val="007B7AF5"/>
    <w:rsid w:val="007C28EE"/>
    <w:rsid w:val="007C2EEA"/>
    <w:rsid w:val="007C3274"/>
    <w:rsid w:val="007C4273"/>
    <w:rsid w:val="007C43E5"/>
    <w:rsid w:val="007C6352"/>
    <w:rsid w:val="007C76C2"/>
    <w:rsid w:val="007D06CC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D79B2"/>
    <w:rsid w:val="008E125B"/>
    <w:rsid w:val="008E2F91"/>
    <w:rsid w:val="008E4B73"/>
    <w:rsid w:val="008E5170"/>
    <w:rsid w:val="008F00C9"/>
    <w:rsid w:val="008F387E"/>
    <w:rsid w:val="008F42B7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26C"/>
    <w:rsid w:val="00930489"/>
    <w:rsid w:val="00930CE0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1AB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0CD4"/>
    <w:rsid w:val="00991A36"/>
    <w:rsid w:val="00991E6B"/>
    <w:rsid w:val="009921BB"/>
    <w:rsid w:val="009921CD"/>
    <w:rsid w:val="00992B81"/>
    <w:rsid w:val="00993146"/>
    <w:rsid w:val="00993D16"/>
    <w:rsid w:val="009945AE"/>
    <w:rsid w:val="00995E68"/>
    <w:rsid w:val="00996B6A"/>
    <w:rsid w:val="009A02C8"/>
    <w:rsid w:val="009A20C4"/>
    <w:rsid w:val="009A218B"/>
    <w:rsid w:val="009A6B02"/>
    <w:rsid w:val="009A78D1"/>
    <w:rsid w:val="009A7E3B"/>
    <w:rsid w:val="009B05BD"/>
    <w:rsid w:val="009B079E"/>
    <w:rsid w:val="009B34AF"/>
    <w:rsid w:val="009B4596"/>
    <w:rsid w:val="009B48FB"/>
    <w:rsid w:val="009B5EC5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95"/>
    <w:rsid w:val="00A055FF"/>
    <w:rsid w:val="00A056E3"/>
    <w:rsid w:val="00A06809"/>
    <w:rsid w:val="00A10ACF"/>
    <w:rsid w:val="00A123A5"/>
    <w:rsid w:val="00A17E22"/>
    <w:rsid w:val="00A221EE"/>
    <w:rsid w:val="00A23725"/>
    <w:rsid w:val="00A23F48"/>
    <w:rsid w:val="00A242A3"/>
    <w:rsid w:val="00A2623D"/>
    <w:rsid w:val="00A325B9"/>
    <w:rsid w:val="00A35CB3"/>
    <w:rsid w:val="00A35CF7"/>
    <w:rsid w:val="00A37BFB"/>
    <w:rsid w:val="00A4329D"/>
    <w:rsid w:val="00A51586"/>
    <w:rsid w:val="00A527C5"/>
    <w:rsid w:val="00A53CFD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061B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0710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37920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7A9F"/>
    <w:rsid w:val="00B57D01"/>
    <w:rsid w:val="00B64812"/>
    <w:rsid w:val="00B65B7D"/>
    <w:rsid w:val="00B65F15"/>
    <w:rsid w:val="00B6658F"/>
    <w:rsid w:val="00B66978"/>
    <w:rsid w:val="00B67238"/>
    <w:rsid w:val="00B70D9F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3A4"/>
    <w:rsid w:val="00BA1CC7"/>
    <w:rsid w:val="00BA4EEB"/>
    <w:rsid w:val="00BA6C95"/>
    <w:rsid w:val="00BA6F86"/>
    <w:rsid w:val="00BA70B7"/>
    <w:rsid w:val="00BA7E8F"/>
    <w:rsid w:val="00BA7F37"/>
    <w:rsid w:val="00BB0DB2"/>
    <w:rsid w:val="00BB0F4D"/>
    <w:rsid w:val="00BB0F66"/>
    <w:rsid w:val="00BB1EAC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4CCC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344B"/>
    <w:rsid w:val="00C54A4E"/>
    <w:rsid w:val="00C55062"/>
    <w:rsid w:val="00C55397"/>
    <w:rsid w:val="00C56502"/>
    <w:rsid w:val="00C658E7"/>
    <w:rsid w:val="00C6595A"/>
    <w:rsid w:val="00C67A35"/>
    <w:rsid w:val="00C67B01"/>
    <w:rsid w:val="00C708F0"/>
    <w:rsid w:val="00C744F8"/>
    <w:rsid w:val="00C74A4E"/>
    <w:rsid w:val="00C7788A"/>
    <w:rsid w:val="00C80E19"/>
    <w:rsid w:val="00C8617F"/>
    <w:rsid w:val="00C87C43"/>
    <w:rsid w:val="00C918D0"/>
    <w:rsid w:val="00C92FC1"/>
    <w:rsid w:val="00C932C7"/>
    <w:rsid w:val="00C9648B"/>
    <w:rsid w:val="00CA29A0"/>
    <w:rsid w:val="00CA59C9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479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6B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26F8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1A3"/>
    <w:rsid w:val="00E5174E"/>
    <w:rsid w:val="00E540B5"/>
    <w:rsid w:val="00E6031F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646B"/>
    <w:rsid w:val="00EC1A1A"/>
    <w:rsid w:val="00EC29BF"/>
    <w:rsid w:val="00EC3FD9"/>
    <w:rsid w:val="00EC4B0C"/>
    <w:rsid w:val="00EC4BF8"/>
    <w:rsid w:val="00EC52AC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0F07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23AA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173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tabs>
        <w:tab w:val="num" w:pos="680"/>
      </w:tabs>
      <w:spacing w:before="240" w:after="120"/>
      <w:ind w:left="680" w:hanging="68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tabs>
        <w:tab w:val="clear" w:pos="1492"/>
        <w:tab w:val="num" w:pos="680"/>
      </w:tabs>
      <w:spacing w:before="240" w:after="120"/>
      <w:ind w:left="680" w:hanging="68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tabs>
        <w:tab w:val="clear" w:pos="1492"/>
        <w:tab w:val="num" w:pos="680"/>
      </w:tabs>
      <w:spacing w:before="240" w:after="120"/>
      <w:ind w:left="680" w:hanging="68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96806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396806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B330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B330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link w:val="berschrift5"/>
    <w:uiPriority w:val="9"/>
    <w:semiHidden/>
    <w:rsid w:val="00B330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B330DC"/>
    <w:rPr>
      <w:rFonts w:ascii="Calibri" w:eastAsia="Times New Roman" w:hAnsi="Calibri" w:cs="Times New Roman"/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B330DC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B330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B330DC"/>
    <w:rPr>
      <w:rFonts w:ascii="Cambria" w:eastAsia="Times New Roman" w:hAnsi="Cambria" w:cs="Times New Roman"/>
    </w:rPr>
  </w:style>
  <w:style w:type="paragraph" w:styleId="Kopfzeile">
    <w:name w:val="header"/>
    <w:basedOn w:val="Standard"/>
    <w:link w:val="KopfzeileZchn"/>
    <w:uiPriority w:val="99"/>
    <w:rsid w:val="00396806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link w:val="Kopfzeile"/>
    <w:uiPriority w:val="99"/>
    <w:rsid w:val="00B330D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396806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link w:val="Fuzeile"/>
    <w:uiPriority w:val="99"/>
    <w:semiHidden/>
    <w:rsid w:val="00B330DC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uiPriority w:val="99"/>
    <w:semiHidden/>
    <w:rsid w:val="00396806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3968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330DC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396806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link w:val="Textkrper"/>
    <w:uiPriority w:val="99"/>
    <w:semiHidden/>
    <w:rsid w:val="00B330DC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96806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rsid w:val="00B330DC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396806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B330DC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uiPriority w:val="99"/>
    <w:semiHidden/>
    <w:rsid w:val="00396806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tabs>
        <w:tab w:val="num" w:pos="284"/>
      </w:tabs>
      <w:autoSpaceDE w:val="0"/>
      <w:autoSpaceDN w:val="0"/>
      <w:adjustRightInd w:val="0"/>
      <w:ind w:left="284" w:hanging="284"/>
      <w:jc w:val="left"/>
    </w:pPr>
  </w:style>
  <w:style w:type="paragraph" w:customStyle="1" w:styleId="Tabellenberschrift">
    <w:name w:val="Tabellenüberschrift"/>
    <w:basedOn w:val="Tabellentext"/>
    <w:uiPriority w:val="99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2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link w:val="Anrede"/>
    <w:uiPriority w:val="99"/>
    <w:semiHidden/>
    <w:rsid w:val="00B330DC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1"/>
      </w:numPr>
    </w:pPr>
  </w:style>
  <w:style w:type="paragraph" w:styleId="Aufzhlungszeichen2">
    <w:name w:val="List Bullet 2"/>
    <w:basedOn w:val="Standard"/>
    <w:uiPriority w:val="99"/>
    <w:semiHidden/>
    <w:rsid w:val="00711299"/>
    <w:pPr>
      <w:numPr>
        <w:numId w:val="1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1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1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tabs>
        <w:tab w:val="num" w:pos="1492"/>
      </w:tabs>
      <w:ind w:left="1492" w:hanging="360"/>
    </w:pPr>
  </w:style>
  <w:style w:type="character" w:styleId="BesuchterLink">
    <w:name w:val="FollowedHyperlink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link w:val="Datum"/>
    <w:uiPriority w:val="99"/>
    <w:semiHidden/>
    <w:rsid w:val="00B330DC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link w:val="E-Mail-Signatur"/>
    <w:uiPriority w:val="99"/>
    <w:semiHidden/>
    <w:rsid w:val="00B330DC"/>
    <w:rPr>
      <w:sz w:val="24"/>
      <w:szCs w:val="24"/>
    </w:rPr>
  </w:style>
  <w:style w:type="character" w:styleId="Fett">
    <w:name w:val="Strong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link w:val="Fu-Endnotenberschrift"/>
    <w:uiPriority w:val="99"/>
    <w:semiHidden/>
    <w:rsid w:val="00B330DC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link w:val="Gruformel"/>
    <w:uiPriority w:val="99"/>
    <w:semiHidden/>
    <w:rsid w:val="00B330DC"/>
    <w:rPr>
      <w:sz w:val="24"/>
      <w:szCs w:val="24"/>
    </w:rPr>
  </w:style>
  <w:style w:type="character" w:styleId="Hervorhebung">
    <w:name w:val="Emphasis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link w:val="HTMLAdresse"/>
    <w:uiPriority w:val="99"/>
    <w:semiHidden/>
    <w:rsid w:val="00B330DC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711299"/>
    <w:rPr>
      <w:i/>
      <w:iCs/>
    </w:rPr>
  </w:style>
  <w:style w:type="character" w:styleId="HTMLSchreibmaschine">
    <w:name w:val="HTML Typewriter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330DC"/>
    <w:rPr>
      <w:rFonts w:ascii="Courier New" w:hAnsi="Courier New" w:cs="Courier New"/>
      <w:sz w:val="20"/>
      <w:szCs w:val="20"/>
    </w:rPr>
  </w:style>
  <w:style w:type="character" w:styleId="HTMLZitat">
    <w:name w:val="HTML Cite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20"/>
      </w:numPr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18"/>
      </w:numPr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19"/>
      </w:numPr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16"/>
      </w:numPr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17"/>
      </w:numPr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link w:val="Nachrichtenkopf"/>
    <w:uiPriority w:val="99"/>
    <w:semiHidden/>
    <w:rsid w:val="00B330D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B330DC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B330DC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00B330DC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B330DC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link w:val="Textkrper-Erstzeileneinzug"/>
    <w:uiPriority w:val="99"/>
    <w:semiHidden/>
    <w:rsid w:val="00B330DC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uiPriority w:val="99"/>
    <w:semiHidden/>
    <w:rsid w:val="00B330DC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330D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link w:val="Unterschrift"/>
    <w:uiPriority w:val="99"/>
    <w:semiHidden/>
    <w:rsid w:val="00B330DC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link w:val="Untertitel"/>
    <w:uiPriority w:val="11"/>
    <w:rsid w:val="00B330DC"/>
    <w:rPr>
      <w:rFonts w:ascii="Cambria" w:eastAsia="Times New Roman" w:hAnsi="Cambria" w:cs="Times New Roman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uiPriority w:val="99"/>
    <w:rsid w:val="007C43E5"/>
    <w:pPr>
      <w:tabs>
        <w:tab w:val="num" w:pos="340"/>
      </w:tabs>
      <w:spacing w:before="0" w:after="0"/>
      <w:ind w:left="340" w:hanging="340"/>
    </w:pPr>
    <w:rPr>
      <w:rFonts w:eastAsia="MS Mincho"/>
    </w:rPr>
  </w:style>
  <w:style w:type="table" w:customStyle="1" w:styleId="RLPTabelle">
    <w:name w:val="RLP Tabelle"/>
    <w:uiPriority w:val="99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B330DC"/>
    <w:rPr>
      <w:sz w:val="20"/>
      <w:szCs w:val="20"/>
    </w:rPr>
  </w:style>
  <w:style w:type="character" w:styleId="Endnotenzeichen">
    <w:name w:val="endnote reference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rsid w:val="00B330DC"/>
    <w:rPr>
      <w:sz w:val="0"/>
      <w:szCs w:val="0"/>
    </w:rPr>
  </w:style>
  <w:style w:type="character" w:styleId="Kommentarzeichen">
    <w:name w:val="annotation reference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B330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330DC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uiPriority w:val="99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customStyle="1" w:styleId="Default">
    <w:name w:val="Default"/>
    <w:uiPriority w:val="99"/>
    <w:rsid w:val="002D556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numbering" w:styleId="ArtikelAbschnitt">
    <w:name w:val="Outline List 3"/>
    <w:basedOn w:val="KeineListe"/>
    <w:uiPriority w:val="99"/>
    <w:semiHidden/>
    <w:unhideWhenUsed/>
    <w:rsid w:val="00B330DC"/>
    <w:pPr>
      <w:numPr>
        <w:numId w:val="23"/>
      </w:numPr>
    </w:pPr>
  </w:style>
  <w:style w:type="numbering" w:styleId="111111">
    <w:name w:val="Outline List 2"/>
    <w:basedOn w:val="KeineListe"/>
    <w:uiPriority w:val="99"/>
    <w:semiHidden/>
    <w:unhideWhenUsed/>
    <w:rsid w:val="00B330DC"/>
    <w:pPr>
      <w:numPr>
        <w:numId w:val="21"/>
      </w:numPr>
    </w:pPr>
  </w:style>
  <w:style w:type="numbering" w:styleId="1ai">
    <w:name w:val="Outline List 1"/>
    <w:basedOn w:val="KeineListe"/>
    <w:uiPriority w:val="99"/>
    <w:semiHidden/>
    <w:unhideWhenUsed/>
    <w:rsid w:val="00B330DC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3565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subject/>
  <dc:creator/>
  <cp:keywords/>
  <dc:description/>
  <cp:lastModifiedBy/>
  <cp:revision>1</cp:revision>
  <dcterms:created xsi:type="dcterms:W3CDTF">2021-02-16T06:37:00Z</dcterms:created>
  <dcterms:modified xsi:type="dcterms:W3CDTF">2024-03-27T07:02:00Z</dcterms:modified>
</cp:coreProperties>
</file>