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0530" w14:textId="71181C40" w:rsidR="005F408F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2A5F99">
        <w:rPr>
          <w:b/>
          <w:bCs/>
          <w:sz w:val="28"/>
          <w:szCs w:val="28"/>
        </w:rPr>
        <w:t xml:space="preserve">Anordnung der Lernsituationen im Lernfeld </w:t>
      </w:r>
      <w:r w:rsidR="00DE426B">
        <w:rPr>
          <w:b/>
          <w:bCs/>
          <w:sz w:val="28"/>
          <w:szCs w:val="28"/>
        </w:rPr>
        <w:t>4 –</w:t>
      </w:r>
      <w:r w:rsidR="0009508F">
        <w:rPr>
          <w:b/>
          <w:bCs/>
          <w:sz w:val="28"/>
          <w:szCs w:val="28"/>
        </w:rPr>
        <w:t xml:space="preserve"> Einkommen</w:t>
      </w:r>
      <w:r w:rsidR="00DE426B">
        <w:rPr>
          <w:b/>
          <w:bCs/>
          <w:sz w:val="28"/>
          <w:szCs w:val="28"/>
        </w:rPr>
        <w:t>steuererklärungen von Beschäftigten erstellen (80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1702"/>
        <w:gridCol w:w="5930"/>
      </w:tblGrid>
      <w:tr w:rsidR="00E61020" w:rsidRPr="00E61020" w14:paraId="63599A17" w14:textId="77777777" w:rsidTr="001C466C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E805" w14:textId="77777777" w:rsidR="00E61020" w:rsidRPr="00E61020" w:rsidRDefault="00E61020" w:rsidP="00E61020">
            <w:pPr>
              <w:spacing w:before="60" w:after="0"/>
              <w:jc w:val="left"/>
              <w:rPr>
                <w:b/>
                <w:bCs/>
              </w:rPr>
            </w:pPr>
            <w:r w:rsidRPr="00E61020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CC4E" w14:textId="77777777" w:rsidR="00E61020" w:rsidRPr="00E61020" w:rsidRDefault="00E61020" w:rsidP="00E61020">
            <w:pPr>
              <w:spacing w:before="60" w:after="0"/>
              <w:jc w:val="left"/>
              <w:rPr>
                <w:b/>
                <w:bCs/>
              </w:rPr>
            </w:pPr>
            <w:r w:rsidRPr="00E61020"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8090" w14:textId="77777777" w:rsidR="00E61020" w:rsidRPr="00E61020" w:rsidRDefault="00E61020" w:rsidP="00E61020">
            <w:pPr>
              <w:spacing w:before="60" w:after="0"/>
              <w:jc w:val="center"/>
              <w:rPr>
                <w:b/>
                <w:bCs/>
              </w:rPr>
            </w:pPr>
            <w:r w:rsidRPr="00E61020">
              <w:rPr>
                <w:b/>
                <w:bCs/>
              </w:rPr>
              <w:t>Zeitrichtwert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34DEF2" w14:textId="77777777" w:rsidR="00E61020" w:rsidRPr="00E61020" w:rsidRDefault="00E61020" w:rsidP="00E61020">
            <w:pPr>
              <w:spacing w:before="60" w:after="0"/>
              <w:jc w:val="left"/>
              <w:rPr>
                <w:b/>
                <w:bCs/>
              </w:rPr>
            </w:pPr>
            <w:r w:rsidRPr="00E61020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E61020" w:rsidRPr="00E61020" w14:paraId="0195E477" w14:textId="77777777" w:rsidTr="001C466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5CB0" w14:textId="48BC614C" w:rsidR="00E61020" w:rsidRPr="00E61020" w:rsidRDefault="00E61020" w:rsidP="00E61020">
            <w:pPr>
              <w:spacing w:before="60" w:after="0"/>
              <w:jc w:val="left"/>
            </w:pPr>
            <w:r>
              <w:t>4</w:t>
            </w:r>
            <w:r w:rsidRPr="00E61020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133" w14:textId="37040111" w:rsidR="00E61020" w:rsidRPr="00E61020" w:rsidRDefault="00E61020" w:rsidP="00E61020">
            <w:pPr>
              <w:spacing w:before="60" w:after="0"/>
              <w:jc w:val="left"/>
            </w:pPr>
            <w:r>
              <w:rPr>
                <w:rFonts w:eastAsia="Calibri"/>
                <w:lang w:eastAsia="en-US"/>
              </w:rPr>
              <w:t>Die Einkommensteuerpflicht von</w:t>
            </w:r>
            <w:r w:rsidRPr="002A5F99">
              <w:rPr>
                <w:rFonts w:eastAsia="Calibri"/>
                <w:lang w:eastAsia="en-US"/>
              </w:rPr>
              <w:t xml:space="preserve"> Mandantinnen und Mandanten bestimmen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5B5" w14:textId="2FA9BC93" w:rsidR="00E61020" w:rsidRPr="00E61020" w:rsidRDefault="00E61020" w:rsidP="00E61020">
            <w:pPr>
              <w:spacing w:before="60" w:after="0"/>
              <w:jc w:val="center"/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B40D40" w14:textId="77777777" w:rsidR="00E61020" w:rsidRPr="002A5F99" w:rsidRDefault="00E61020" w:rsidP="00E61020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2A5F99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2A5F99">
              <w:rPr>
                <w:rFonts w:eastAsia="Calibri"/>
                <w:color w:val="000000"/>
                <w:kern w:val="24"/>
              </w:rPr>
              <w:t>.</w:t>
            </w:r>
          </w:p>
          <w:p w14:paraId="1F6D0C6B" w14:textId="77777777" w:rsidR="00E61020" w:rsidRPr="002A5F99" w:rsidRDefault="00E61020" w:rsidP="00E61020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3582393E" w14:textId="77777777" w:rsidR="00E61020" w:rsidRDefault="00E61020" w:rsidP="00E61020">
            <w:pPr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reflektieren </w:t>
            </w:r>
            <w:r w:rsidRPr="002A5F99">
              <w:t>das Mand</w:t>
            </w:r>
            <w:r>
              <w:t>antinnen- und Mandantengespräch und</w:t>
            </w:r>
            <w:r w:rsidRPr="002A5F99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5FDAC73A" w14:textId="77777777" w:rsidR="00E61020" w:rsidRPr="002A5F99" w:rsidRDefault="00E61020" w:rsidP="00E61020">
            <w:pPr>
              <w:spacing w:before="0" w:after="0"/>
              <w:jc w:val="left"/>
              <w:rPr>
                <w:bCs/>
              </w:rPr>
            </w:pPr>
          </w:p>
          <w:p w14:paraId="65AEE50C" w14:textId="6719F5C0" w:rsidR="00E61020" w:rsidRPr="00E61020" w:rsidRDefault="00E61020" w:rsidP="00E61020">
            <w:pPr>
              <w:spacing w:before="60" w:after="0"/>
              <w:jc w:val="left"/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E61020" w:rsidRPr="00E61020" w14:paraId="7BD7A45B" w14:textId="77777777" w:rsidTr="00E61020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4E" w14:textId="234188F1" w:rsidR="00E61020" w:rsidRPr="00E61020" w:rsidRDefault="00E61020" w:rsidP="00E61020">
            <w:pPr>
              <w:spacing w:before="60" w:after="0"/>
              <w:jc w:val="left"/>
            </w:pPr>
            <w:r>
              <w:t>4</w:t>
            </w:r>
            <w:r w:rsidRPr="00E61020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192" w14:textId="69F5C65A" w:rsidR="00E61020" w:rsidRPr="00E61020" w:rsidRDefault="00E61020" w:rsidP="00E61020">
            <w:pPr>
              <w:spacing w:before="60" w:after="0"/>
              <w:jc w:val="left"/>
            </w:pPr>
            <w:r w:rsidRPr="002A5F99">
              <w:rPr>
                <w:rFonts w:eastAsia="Calibri"/>
                <w:lang w:eastAsia="en-US"/>
              </w:rPr>
              <w:t>Die Einkünfte aus nichtselbst</w:t>
            </w:r>
            <w:r>
              <w:rPr>
                <w:rFonts w:eastAsia="Calibri"/>
                <w:lang w:eastAsia="en-US"/>
              </w:rPr>
              <w:t>st</w:t>
            </w:r>
            <w:r w:rsidRPr="002A5F99">
              <w:rPr>
                <w:rFonts w:eastAsia="Calibri"/>
                <w:lang w:eastAsia="en-US"/>
              </w:rPr>
              <w:t xml:space="preserve">ändiger Arbeit und den Gesamtbetrag der Einkünfte ermitteln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706" w14:textId="14C7515A" w:rsidR="00E61020" w:rsidRPr="00E61020" w:rsidRDefault="00E61020" w:rsidP="00E61020">
            <w:pPr>
              <w:spacing w:before="60" w:after="0"/>
              <w:jc w:val="center"/>
            </w:pPr>
            <w:r w:rsidRPr="00DE426B">
              <w:rPr>
                <w:rFonts w:eastAsia="Calibri"/>
                <w:b/>
                <w:color w:val="000000"/>
                <w:kern w:val="24"/>
              </w:rPr>
              <w:t>24</w:t>
            </w:r>
            <w:r>
              <w:rPr>
                <w:rFonts w:eastAsia="Calibri"/>
                <w:b/>
                <w:color w:val="000000"/>
                <w:kern w:val="24"/>
              </w:rPr>
              <w:t xml:space="preserve"> 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889754" w14:textId="25418AFC" w:rsidR="00E61020" w:rsidRPr="002A5F99" w:rsidRDefault="00E61020" w:rsidP="00E61020">
            <w:pPr>
              <w:tabs>
                <w:tab w:val="left" w:pos="567"/>
              </w:tabs>
              <w:spacing w:before="0" w:after="0"/>
              <w:jc w:val="left"/>
            </w:pPr>
            <w:r w:rsidRPr="002A5F99">
              <w:rPr>
                <w:bCs/>
              </w:rPr>
              <w:t>Die Schülerinnen und Schüler sondieren die Antrags- und Pflichtveranlagung und deren Gründe mit entsprechenden Abgabefristen.</w:t>
            </w:r>
            <w:r w:rsidRPr="002A5F99">
              <w:t xml:space="preserve"> </w:t>
            </w:r>
          </w:p>
          <w:p w14:paraId="3C223CBF" w14:textId="5E7DB232" w:rsidR="00E61020" w:rsidRPr="002A5F99" w:rsidRDefault="00E61020" w:rsidP="00E61020">
            <w:pPr>
              <w:tabs>
                <w:tab w:val="left" w:pos="567"/>
              </w:tabs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Sie </w:t>
            </w:r>
            <w:r w:rsidRPr="002A5F99">
              <w:rPr>
                <w:b/>
                <w:bCs/>
              </w:rPr>
              <w:t xml:space="preserve">bereiten </w:t>
            </w:r>
            <w:r w:rsidRPr="002A5F99">
              <w:t>die Erstellung der</w:t>
            </w:r>
            <w:r w:rsidRPr="002A5F99">
              <w:rPr>
                <w:b/>
                <w:bCs/>
              </w:rPr>
              <w:t xml:space="preserve"> </w:t>
            </w:r>
            <w:r w:rsidRPr="002A5F99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A5F99">
              <w:rPr>
                <w:b/>
              </w:rPr>
              <w:t>vor</w:t>
            </w:r>
            <w:r w:rsidRPr="002A5F99">
              <w:rPr>
                <w:bCs/>
              </w:rPr>
              <w:t>. Sie verwenden in der Kommunikation mit den Mandantinnen und Mandanten Berufssprache, auch in einer Fremdsprache.</w:t>
            </w:r>
          </w:p>
          <w:p w14:paraId="08812CF4" w14:textId="77777777" w:rsidR="00E61020" w:rsidRDefault="00E61020" w:rsidP="00E61020">
            <w:pPr>
              <w:spacing w:before="0" w:after="0"/>
              <w:jc w:val="left"/>
              <w:rPr>
                <w:bCs/>
                <w:i/>
                <w:i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t>unterscheiden</w:t>
            </w:r>
            <w:r w:rsidRPr="002A5F99">
              <w:rPr>
                <w:bCs/>
              </w:rPr>
              <w:t xml:space="preserve"> die Einnahmen </w:t>
            </w:r>
            <w:r w:rsidRPr="002A5F99">
              <w:rPr>
                <w:bCs/>
                <w:i/>
                <w:iCs/>
              </w:rPr>
              <w:t>(Lohnsteuerbescheinigungen)</w:t>
            </w:r>
            <w:r w:rsidRPr="002A5F99">
              <w:rPr>
                <w:bCs/>
              </w:rPr>
              <w:t xml:space="preserve"> nach Steuerbarkeit und Steuerpflicht und </w:t>
            </w:r>
            <w:r w:rsidRPr="002A5F99">
              <w:rPr>
                <w:b/>
              </w:rPr>
              <w:t>ermitteln</w:t>
            </w:r>
            <w:r w:rsidRPr="002A5F99">
              <w:rPr>
                <w:bCs/>
              </w:rPr>
              <w:t xml:space="preserve"> die Höhe der Einnahmen aus nichtselbständiger Arbeit (</w:t>
            </w:r>
            <w:r w:rsidRPr="002A5F99">
              <w:rPr>
                <w:bCs/>
                <w:i/>
              </w:rPr>
              <w:t xml:space="preserve">Geld und geldwerte Vorteile, Steuerbefreiungen, Versorgungsbezüge). </w:t>
            </w:r>
            <w:r w:rsidRPr="002A5F99">
              <w:rPr>
                <w:bCs/>
              </w:rPr>
              <w:t xml:space="preserve">Sie sortieren die Belege und berechnen die Höhe der abzugsfähigen Werbungskosten, vergleichen diese mit den Pauschbeträgen, ermitteln die </w:t>
            </w:r>
            <w:r w:rsidRPr="002A5F99">
              <w:rPr>
                <w:bCs/>
              </w:rPr>
              <w:lastRenderedPageBreak/>
              <w:t xml:space="preserve">Höhe der Einkünfte aus nichtselbständiger Arbeit und den Gesamtbetrag der Einkünfte </w:t>
            </w:r>
            <w:r w:rsidRPr="002A5F99">
              <w:rPr>
                <w:bCs/>
                <w:i/>
                <w:iCs/>
              </w:rPr>
              <w:t>(Altersentlastungsbetrag, Entlastungsbetrag für Alleinerziehende).</w:t>
            </w:r>
          </w:p>
          <w:p w14:paraId="5EA63DA4" w14:textId="77777777" w:rsidR="00E61020" w:rsidRPr="00DE426B" w:rsidRDefault="00E61020" w:rsidP="00E61020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</w:p>
          <w:p w14:paraId="140E18BC" w14:textId="2A97B4D7" w:rsidR="00E61020" w:rsidRPr="00E61020" w:rsidRDefault="00E61020" w:rsidP="00E61020">
            <w:pPr>
              <w:spacing w:before="60" w:after="0"/>
              <w:jc w:val="left"/>
              <w:rPr>
                <w:bCs/>
                <w:iCs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E61020" w:rsidRPr="00E61020" w14:paraId="4FB167FF" w14:textId="77777777" w:rsidTr="001C466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2E1" w14:textId="3CD8C48C" w:rsidR="00E61020" w:rsidRPr="00E61020" w:rsidRDefault="00E61020" w:rsidP="00E61020">
            <w:pPr>
              <w:spacing w:before="60" w:after="0"/>
              <w:jc w:val="left"/>
            </w:pPr>
            <w:r>
              <w:lastRenderedPageBreak/>
              <w:t>4</w:t>
            </w:r>
            <w:r w:rsidRPr="00E61020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40A" w14:textId="77777777" w:rsidR="00E61020" w:rsidRPr="002A5F99" w:rsidRDefault="00E61020" w:rsidP="00E61020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</w:p>
          <w:p w14:paraId="3617631E" w14:textId="6567957E" w:rsidR="00E61020" w:rsidRPr="00E61020" w:rsidRDefault="00E61020" w:rsidP="00E61020">
            <w:pPr>
              <w:spacing w:before="60" w:after="0"/>
              <w:jc w:val="left"/>
            </w:pPr>
            <w:r w:rsidRPr="002A5F99">
              <w:rPr>
                <w:rFonts w:eastAsia="Calibri"/>
                <w:color w:val="000000"/>
                <w:kern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446" w14:textId="51DEF603" w:rsidR="00E61020" w:rsidRPr="00E61020" w:rsidRDefault="00E61020" w:rsidP="00E61020">
            <w:pPr>
              <w:spacing w:before="60" w:after="0"/>
              <w:jc w:val="center"/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30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90B8DD" w14:textId="77777777" w:rsidR="00E61020" w:rsidRPr="002A5F99" w:rsidRDefault="00E61020" w:rsidP="00E61020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1B420B1F" w14:textId="5810E614" w:rsidR="00E61020" w:rsidRPr="00E61020" w:rsidRDefault="00E61020" w:rsidP="00E61020">
            <w:pPr>
              <w:spacing w:before="60" w:after="0"/>
              <w:jc w:val="left"/>
            </w:pPr>
            <w:r w:rsidRPr="002A5F99">
              <w:rPr>
                <w:rFonts w:eastAsia="Calibri"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2A5F99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2A5F99">
              <w:rPr>
                <w:rFonts w:eastAsia="Calibri"/>
                <w:color w:val="000000"/>
                <w:kern w:val="24"/>
              </w:rPr>
              <w:t xml:space="preserve">,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2A5F99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E61020" w:rsidRPr="00E61020" w14:paraId="5F20918B" w14:textId="77777777" w:rsidTr="0059112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344" w14:textId="590BF743" w:rsidR="00E61020" w:rsidRPr="00E61020" w:rsidRDefault="00E61020" w:rsidP="00E61020">
            <w:pPr>
              <w:spacing w:before="60" w:after="0"/>
              <w:jc w:val="left"/>
            </w:pPr>
            <w:r>
              <w:t>4</w:t>
            </w:r>
            <w:r w:rsidRPr="00E61020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B8A" w14:textId="1B576768" w:rsidR="00E61020" w:rsidRPr="00E61020" w:rsidRDefault="00E61020" w:rsidP="00E61020">
            <w:pPr>
              <w:spacing w:before="60" w:after="0"/>
              <w:jc w:val="left"/>
            </w:pPr>
            <w:r w:rsidRPr="002A5F99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64A" w14:textId="0326C7F8" w:rsidR="00E61020" w:rsidRPr="00E61020" w:rsidRDefault="00E61020" w:rsidP="00E61020">
            <w:pPr>
              <w:spacing w:before="60" w:after="0"/>
              <w:jc w:val="center"/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6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D217A4" w14:textId="77777777" w:rsidR="00E61020" w:rsidRPr="002A5F99" w:rsidRDefault="00E61020" w:rsidP="00E61020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Sie </w:t>
            </w:r>
            <w:r w:rsidRPr="002A5F99">
              <w:rPr>
                <w:b/>
                <w:bCs/>
                <w:sz w:val="22"/>
                <w:szCs w:val="22"/>
              </w:rPr>
              <w:t>beurteilen</w:t>
            </w:r>
            <w:r w:rsidRPr="002A5F99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2A5F99">
              <w:rPr>
                <w:b/>
                <w:sz w:val="22"/>
                <w:szCs w:val="22"/>
              </w:rPr>
              <w:t>ermitteln</w:t>
            </w:r>
            <w:r w:rsidRPr="002A5F99">
              <w:rPr>
                <w:bCs/>
                <w:sz w:val="22"/>
                <w:szCs w:val="22"/>
              </w:rPr>
              <w:t xml:space="preserve"> das zu versteuernde Einkommen </w:t>
            </w:r>
            <w:r w:rsidRPr="002A5F99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2A5F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6E08A25" w14:textId="77777777" w:rsidR="00E61020" w:rsidRPr="00E61020" w:rsidRDefault="00E61020" w:rsidP="00E61020">
            <w:pPr>
              <w:spacing w:before="60" w:after="0"/>
              <w:jc w:val="left"/>
            </w:pPr>
          </w:p>
        </w:tc>
      </w:tr>
      <w:tr w:rsidR="00E61020" w:rsidRPr="00E61020" w14:paraId="2EE0A59B" w14:textId="77777777" w:rsidTr="0059112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606" w14:textId="2AFE572C" w:rsidR="00E61020" w:rsidRDefault="00E61020" w:rsidP="00E61020">
            <w:pPr>
              <w:spacing w:before="60" w:after="0"/>
              <w:jc w:val="left"/>
            </w:pPr>
            <w:r>
              <w:t>4.5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0AE" w14:textId="73E197F0" w:rsidR="00E61020" w:rsidRPr="00E61020" w:rsidRDefault="00E61020" w:rsidP="00E61020">
            <w:pPr>
              <w:spacing w:before="60" w:after="0"/>
              <w:jc w:val="left"/>
            </w:pPr>
            <w:r w:rsidRPr="002A5F99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E83" w14:textId="308ECD37" w:rsidR="00E61020" w:rsidRPr="00E61020" w:rsidRDefault="00E61020" w:rsidP="00E61020">
            <w:pPr>
              <w:spacing w:before="60" w:after="0"/>
              <w:jc w:val="center"/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639311" w14:textId="77777777" w:rsidR="00E61020" w:rsidRPr="002A5F99" w:rsidRDefault="00E61020" w:rsidP="00E61020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iCs/>
                <w:sz w:val="22"/>
                <w:szCs w:val="22"/>
              </w:rPr>
              <w:t>Sie</w:t>
            </w:r>
            <w:r w:rsidRPr="002A5F99">
              <w:rPr>
                <w:bCs/>
                <w:sz w:val="22"/>
                <w:szCs w:val="22"/>
              </w:rPr>
              <w:t xml:space="preserve"> </w:t>
            </w:r>
            <w:r w:rsidRPr="002A5F99">
              <w:rPr>
                <w:b/>
                <w:sz w:val="22"/>
                <w:szCs w:val="22"/>
              </w:rPr>
              <w:t>berechnen</w:t>
            </w:r>
            <w:r w:rsidRPr="002A5F99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2A5F99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2A5F99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2A5F99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140DD616" w14:textId="77777777" w:rsidR="00E61020" w:rsidRDefault="00E61020" w:rsidP="00E61020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Die Schülerinnen und Schüler </w:t>
            </w:r>
            <w:r w:rsidRPr="002A5F99">
              <w:rPr>
                <w:b/>
                <w:bCs/>
                <w:sz w:val="22"/>
                <w:szCs w:val="22"/>
              </w:rPr>
              <w:t xml:space="preserve">prüfen </w:t>
            </w:r>
            <w:r w:rsidRPr="002A5F99">
              <w:rPr>
                <w:bCs/>
                <w:sz w:val="22"/>
                <w:szCs w:val="22"/>
              </w:rPr>
              <w:t>die</w:t>
            </w:r>
            <w:r w:rsidRPr="002A5F99">
              <w:rPr>
                <w:sz w:val="22"/>
                <w:szCs w:val="22"/>
              </w:rPr>
              <w:t xml:space="preserve"> Steuererklärung auf Vollständigkeit, Plausibilität und</w:t>
            </w:r>
            <w:r w:rsidRPr="002A5F99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71DAB479" w14:textId="77777777" w:rsidR="00E61020" w:rsidRPr="002A5F99" w:rsidRDefault="00E61020" w:rsidP="00E61020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</w:p>
          <w:p w14:paraId="006E9F44" w14:textId="6E4A85C8" w:rsidR="00E61020" w:rsidRPr="00E61020" w:rsidRDefault="00E61020" w:rsidP="00E61020">
            <w:pPr>
              <w:spacing w:before="60" w:after="0"/>
              <w:jc w:val="left"/>
            </w:pPr>
            <w:r w:rsidRPr="002A5F99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405941A9" w14:textId="77777777" w:rsidR="005F408F" w:rsidRPr="002A5F99" w:rsidRDefault="005F408F" w:rsidP="00781367">
      <w:pPr>
        <w:spacing w:before="0" w:after="0"/>
        <w:jc w:val="left"/>
      </w:pPr>
    </w:p>
    <w:p w14:paraId="29B9ACC3" w14:textId="5E10E61A" w:rsidR="00240600" w:rsidRPr="002A5F99" w:rsidRDefault="00240600">
      <w:pPr>
        <w:spacing w:before="0" w:after="0"/>
        <w:jc w:val="left"/>
        <w:rPr>
          <w:b/>
          <w:bCs/>
        </w:rPr>
      </w:pPr>
      <w:r w:rsidRPr="002A5F99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240600" w:rsidRPr="002A5F99" w14:paraId="3323822E" w14:textId="77777777" w:rsidTr="00D40AA4">
        <w:tc>
          <w:tcPr>
            <w:tcW w:w="14572" w:type="dxa"/>
            <w:gridSpan w:val="2"/>
          </w:tcPr>
          <w:p w14:paraId="551F0798" w14:textId="77777777" w:rsidR="00240600" w:rsidRPr="002A5F99" w:rsidRDefault="00240600" w:rsidP="00D40AA4">
            <w:pPr>
              <w:pStyle w:val="Tabellentext"/>
              <w:spacing w:before="60" w:after="60"/>
              <w:rPr>
                <w:b/>
              </w:rPr>
            </w:pPr>
            <w:r w:rsidRPr="002A5F99">
              <w:rPr>
                <w:b/>
              </w:rPr>
              <w:lastRenderedPageBreak/>
              <w:t>1. Ausbildungsjahr</w:t>
            </w:r>
          </w:p>
          <w:p w14:paraId="22733EA4" w14:textId="4375ABF1" w:rsidR="00240600" w:rsidRPr="002A5F99" w:rsidRDefault="009B6F39" w:rsidP="00D40AA4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</w:t>
            </w:r>
            <w:r w:rsidR="00240600" w:rsidRPr="002A5F99">
              <w:tab/>
              <w:t>Steuerrechtliche Sachverhalte</w:t>
            </w:r>
          </w:p>
          <w:p w14:paraId="3A36ED0D" w14:textId="71C88B7A" w:rsidR="00240600" w:rsidRPr="002A5F99" w:rsidRDefault="009B6F39" w:rsidP="00D40AA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4</w:t>
            </w:r>
            <w:r w:rsidR="00240600" w:rsidRPr="002A5F99">
              <w:tab/>
              <w:t>Einkommensteuererklärungen von Beschäftigten erstellen (80 UStd.)</w:t>
            </w:r>
          </w:p>
          <w:p w14:paraId="6830CC89" w14:textId="6CD01A91" w:rsidR="00240600" w:rsidRPr="002A5F99" w:rsidRDefault="009B6F39" w:rsidP="00D40AA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4.5</w:t>
            </w:r>
            <w:r w:rsidR="00240600" w:rsidRPr="002A5F99">
              <w:tab/>
              <w:t>Die Berechnung der Einkommensteuerschuld: Die Steuererklärung</w:t>
            </w:r>
            <w:r w:rsidR="004A0021" w:rsidRPr="002A5F99">
              <w:t xml:space="preserve"> abschließen, überprüfen und präsentieren</w:t>
            </w:r>
            <w:r w:rsidR="00240600" w:rsidRPr="002A5F99">
              <w:t xml:space="preserve"> (</w:t>
            </w:r>
            <w:r w:rsidR="004A0021" w:rsidRPr="002A5F99">
              <w:t>10</w:t>
            </w:r>
            <w:r w:rsidR="00240600" w:rsidRPr="002A5F99">
              <w:t xml:space="preserve"> UStd.)</w:t>
            </w:r>
          </w:p>
        </w:tc>
      </w:tr>
      <w:tr w:rsidR="00240600" w:rsidRPr="002A5F99" w14:paraId="1F961169" w14:textId="77777777" w:rsidTr="00D40AA4">
        <w:trPr>
          <w:trHeight w:val="1814"/>
        </w:trPr>
        <w:tc>
          <w:tcPr>
            <w:tcW w:w="7299" w:type="dxa"/>
          </w:tcPr>
          <w:p w14:paraId="7445F374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 xml:space="preserve">Einstiegsszenario </w:t>
            </w:r>
          </w:p>
          <w:p w14:paraId="43119208" w14:textId="679799BE" w:rsidR="00240600" w:rsidRDefault="00240600" w:rsidP="00D40AA4">
            <w:pPr>
              <w:pStyle w:val="Tabellentext"/>
              <w:spacing w:before="0"/>
            </w:pPr>
            <w:r w:rsidRPr="00324CA1">
              <w:t>Die Eheleute Meier</w:t>
            </w:r>
            <w:r w:rsidR="00324CA1">
              <w:t xml:space="preserve"> möchten wissen, ob sie mit einer Steuererstattung oder </w:t>
            </w:r>
            <w:r w:rsidR="00B129CF">
              <w:noBreakHyphen/>
            </w:r>
            <w:proofErr w:type="spellStart"/>
            <w:r w:rsidR="00324CA1">
              <w:t>nachzahlung</w:t>
            </w:r>
            <w:proofErr w:type="spellEnd"/>
            <w:r w:rsidR="00324CA1">
              <w:t xml:space="preserve"> zu rechnen haben und wie hoch diese ausfällt.</w:t>
            </w:r>
            <w:r w:rsidR="00B94F58">
              <w:t xml:space="preserve"> Außerdem reichen sie einige Handwerkerrechnungen ein.</w:t>
            </w:r>
          </w:p>
          <w:p w14:paraId="3A9993B0" w14:textId="7527C09E" w:rsidR="00B910F9" w:rsidRPr="002A5F99" w:rsidRDefault="00B910F9" w:rsidP="00D40AA4">
            <w:pPr>
              <w:pStyle w:val="Tabellentext"/>
              <w:spacing w:before="0"/>
            </w:pPr>
            <w:r>
              <w:t>Die Auszubildende der Steuerkanzlei, Lisa Huber, erhält den Auftrag die Ergebnisse mit den Mandanten zu besprechen</w:t>
            </w:r>
            <w:r w:rsidR="00C67A5F">
              <w:t xml:space="preserve"> und eine entsprechende Präsentation zu erstellen.</w:t>
            </w:r>
          </w:p>
        </w:tc>
        <w:tc>
          <w:tcPr>
            <w:tcW w:w="7273" w:type="dxa"/>
          </w:tcPr>
          <w:p w14:paraId="30C3AC2B" w14:textId="77777777" w:rsidR="00240600" w:rsidRPr="002A5F99" w:rsidRDefault="00240600" w:rsidP="00D40AA4">
            <w:pPr>
              <w:pStyle w:val="Tabellenberschrift"/>
            </w:pPr>
            <w:r w:rsidRPr="002A5F99">
              <w:t>Handlungsprodukt/Lernergebnis</w:t>
            </w:r>
          </w:p>
          <w:p w14:paraId="01BDEAC4" w14:textId="344A5294" w:rsidR="00251813" w:rsidRDefault="00251813" w:rsidP="00B129CF">
            <w:pPr>
              <w:pStyle w:val="Tabellenspiegelstrich"/>
            </w:pPr>
            <w:r>
              <w:t xml:space="preserve">Anlage </w:t>
            </w:r>
            <w:r w:rsidR="00C94FD9">
              <w:t>„H</w:t>
            </w:r>
            <w:r>
              <w:t>aushaltsnahe Aufwendungen</w:t>
            </w:r>
            <w:r w:rsidR="00C94FD9">
              <w:t>“</w:t>
            </w:r>
          </w:p>
          <w:p w14:paraId="399A8240" w14:textId="2AA2BE67" w:rsidR="00240600" w:rsidRPr="002A5F99" w:rsidRDefault="00240600" w:rsidP="00B129CF">
            <w:pPr>
              <w:pStyle w:val="Tabellenspiegelstrich"/>
            </w:pPr>
            <w:r w:rsidRPr="002A5F99">
              <w:t xml:space="preserve">Berechnungsschema </w:t>
            </w:r>
            <w:r w:rsidR="00B910F9">
              <w:t>festzusetzende Einkommensteuer</w:t>
            </w:r>
            <w:r w:rsidR="00E47C3E">
              <w:t>, Einkommensteuererstattung/-nachzahlung</w:t>
            </w:r>
            <w:r w:rsidRPr="002A5F99">
              <w:t xml:space="preserve"> (Beratungsnotiz</w:t>
            </w:r>
            <w:r w:rsidR="00251813">
              <w:t>/Präsentation</w:t>
            </w:r>
            <w:r w:rsidRPr="002A5F99">
              <w:t>)</w:t>
            </w:r>
          </w:p>
          <w:p w14:paraId="7783AB16" w14:textId="77777777" w:rsidR="00240600" w:rsidRPr="002A5F99" w:rsidRDefault="00240600" w:rsidP="00D40AA4">
            <w:pPr>
              <w:pStyle w:val="Tabellentext"/>
              <w:spacing w:before="0"/>
            </w:pPr>
          </w:p>
          <w:p w14:paraId="11476308" w14:textId="77777777" w:rsidR="00240600" w:rsidRPr="002A5F99" w:rsidRDefault="00240600" w:rsidP="00D40AA4">
            <w:pPr>
              <w:pStyle w:val="Tabellenberschrift"/>
            </w:pPr>
            <w:r w:rsidRPr="002A5F99">
              <w:t>ggf. Hinweise zur Lernerfolgsüberprüfung und Leistungsbewertung</w:t>
            </w:r>
          </w:p>
          <w:p w14:paraId="21644ACB" w14:textId="5A1E88C4" w:rsidR="00240600" w:rsidRPr="00B129CF" w:rsidRDefault="00240600" w:rsidP="00B129CF">
            <w:pPr>
              <w:pStyle w:val="Tabellenspiegelstrich"/>
            </w:pPr>
            <w:r w:rsidRPr="002A5F99">
              <w:t>Aufgaben zur Übung und Erfolgskontrolle</w:t>
            </w:r>
          </w:p>
        </w:tc>
      </w:tr>
      <w:tr w:rsidR="00240600" w:rsidRPr="002A5F99" w14:paraId="57848039" w14:textId="77777777" w:rsidTr="00D40AA4">
        <w:trPr>
          <w:trHeight w:val="1814"/>
        </w:trPr>
        <w:tc>
          <w:tcPr>
            <w:tcW w:w="7299" w:type="dxa"/>
          </w:tcPr>
          <w:p w14:paraId="5B269D71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Wesentliche Kompetenzen</w:t>
            </w:r>
          </w:p>
          <w:p w14:paraId="7372F002" w14:textId="77777777" w:rsidR="00240600" w:rsidRPr="002A5F99" w:rsidRDefault="00240600" w:rsidP="00D40AA4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2A5F99">
              <w:t>Die Schülerinnen und Schüler</w:t>
            </w:r>
          </w:p>
          <w:p w14:paraId="2491781A" w14:textId="033739AA" w:rsidR="00DC0F3B" w:rsidRPr="00B129CF" w:rsidRDefault="00DC0F3B" w:rsidP="00B129CF">
            <w:pPr>
              <w:pStyle w:val="Tabellenspiegelstrich"/>
            </w:pPr>
            <w:r>
              <w:t>berech</w:t>
            </w:r>
            <w:r w:rsidRPr="00B129CF">
              <w:t>nen die festzusetzende Einkommensteuer sowie die Einkommensteuernach</w:t>
            </w:r>
            <w:bookmarkStart w:id="0" w:name="_GoBack"/>
            <w:bookmarkEnd w:id="0"/>
            <w:r w:rsidRPr="00B129CF">
              <w:t>zahlung oder -erstattung (Progressionsvorbehalt, Steuerermäßigungen)</w:t>
            </w:r>
          </w:p>
          <w:p w14:paraId="3B248EE8" w14:textId="7E05A3CE" w:rsidR="00DC0F3B" w:rsidRPr="00B129CF" w:rsidRDefault="00DC0F3B" w:rsidP="00B129CF">
            <w:pPr>
              <w:pStyle w:val="Tabellenspiegelstrich"/>
            </w:pPr>
            <w:r w:rsidRPr="00B129CF">
              <w:t>präsentieren ihre Ergebnisse in einem abschließenden Mandantinnen- und Mandantengespräch</w:t>
            </w:r>
          </w:p>
          <w:p w14:paraId="4E5E8536" w14:textId="2E2DA3D1" w:rsidR="00240600" w:rsidRPr="002A5F99" w:rsidRDefault="00DC0F3B" w:rsidP="00B129CF">
            <w:pPr>
              <w:pStyle w:val="Tabellenspiegelstrich"/>
            </w:pPr>
            <w:r w:rsidRPr="00B129CF">
              <w:t>prüfen die Steuererklärung auf Vollständigkeit, Plausibilität und mögliche A</w:t>
            </w:r>
            <w:r>
              <w:t>bweichungen zu Vorjahreswerten</w:t>
            </w:r>
          </w:p>
          <w:p w14:paraId="1B295963" w14:textId="23993C36" w:rsidR="00240600" w:rsidRPr="00613085" w:rsidRDefault="00240600" w:rsidP="00B129CF">
            <w:pPr>
              <w:pStyle w:val="Tabellenspiegelstrich"/>
              <w:numPr>
                <w:ilvl w:val="0"/>
                <w:numId w:val="35"/>
              </w:numPr>
              <w:rPr>
                <w:rFonts w:eastAsia="Times New Roman"/>
                <w:color w:val="007EC5"/>
              </w:rPr>
            </w:pPr>
            <w:r w:rsidRPr="00613085">
              <w:rPr>
                <w:rFonts w:eastAsia="Times New Roman"/>
                <w:color w:val="007EC5"/>
              </w:rPr>
              <w:t>beschaffen sich notwendige Informationen mit</w:t>
            </w:r>
            <w:r w:rsidR="00B129CF">
              <w:rPr>
                <w:rFonts w:eastAsia="Times New Roman"/>
                <w:color w:val="007EC5"/>
              </w:rPr>
              <w:t>h</w:t>
            </w:r>
            <w:r w:rsidRPr="00613085">
              <w:rPr>
                <w:rFonts w:eastAsia="Times New Roman"/>
                <w:color w:val="007EC5"/>
              </w:rPr>
              <w:t>ilfe üblicher Branchensoftware (Fachdatenbanken) und einer Internetrecherche</w:t>
            </w:r>
          </w:p>
          <w:p w14:paraId="1C56EC9B" w14:textId="5E3A903B" w:rsidR="00240600" w:rsidRPr="00613085" w:rsidRDefault="00240600" w:rsidP="00B129CF">
            <w:pPr>
              <w:pStyle w:val="Tabellenspiegelstrich"/>
              <w:numPr>
                <w:ilvl w:val="0"/>
                <w:numId w:val="35"/>
              </w:numPr>
              <w:rPr>
                <w:rFonts w:eastAsia="Times New Roman"/>
                <w:color w:val="4CB848"/>
              </w:rPr>
            </w:pPr>
            <w:r w:rsidRPr="00613085">
              <w:rPr>
                <w:rFonts w:eastAsia="Times New Roman"/>
                <w:color w:val="4CB848"/>
              </w:rPr>
              <w:t>beachten grundlegende Prinzipien des Datenschutzes und der Datensicherheit</w:t>
            </w:r>
          </w:p>
          <w:p w14:paraId="4DBFAE48" w14:textId="17A0B562" w:rsidR="00240600" w:rsidRPr="00613085" w:rsidRDefault="00240600" w:rsidP="00B129CF">
            <w:pPr>
              <w:pStyle w:val="Tabellenspiegelstrich"/>
              <w:numPr>
                <w:ilvl w:val="0"/>
                <w:numId w:val="35"/>
              </w:numPr>
              <w:rPr>
                <w:rFonts w:eastAsia="Times New Roman"/>
                <w:color w:val="007EC5"/>
              </w:rPr>
            </w:pPr>
            <w:r w:rsidRPr="00613085">
              <w:rPr>
                <w:rFonts w:eastAsia="Times New Roman"/>
                <w:color w:val="007EC5"/>
              </w:rPr>
              <w:t>wenden Suchmaschinen und Suchstrategien an</w:t>
            </w:r>
          </w:p>
          <w:p w14:paraId="4D8DCDEE" w14:textId="3C922165" w:rsidR="00240600" w:rsidRPr="00613085" w:rsidRDefault="00240600" w:rsidP="00B129CF">
            <w:pPr>
              <w:pStyle w:val="Tabellenspiegelstrich"/>
              <w:numPr>
                <w:ilvl w:val="0"/>
                <w:numId w:val="35"/>
              </w:numPr>
              <w:rPr>
                <w:rFonts w:eastAsia="Times New Roman"/>
                <w:color w:val="ED7D31"/>
              </w:rPr>
            </w:pPr>
            <w:r w:rsidRPr="00613085">
              <w:rPr>
                <w:rFonts w:eastAsia="Times New Roman"/>
                <w:color w:val="ED7D31"/>
              </w:rPr>
              <w:t>überprüfen ihre Rechercheergebnisse im Hinblick auf Validität</w:t>
            </w:r>
          </w:p>
          <w:p w14:paraId="54221221" w14:textId="077BD420" w:rsidR="00240600" w:rsidRPr="00613085" w:rsidRDefault="00240600" w:rsidP="00B129CF">
            <w:pPr>
              <w:pStyle w:val="Tabellenspiegelstrich"/>
              <w:numPr>
                <w:ilvl w:val="0"/>
                <w:numId w:val="35"/>
              </w:numPr>
              <w:rPr>
                <w:rFonts w:eastAsia="Times New Roman"/>
                <w:color w:val="007EC5"/>
              </w:rPr>
            </w:pPr>
            <w:r w:rsidRPr="00613085">
              <w:rPr>
                <w:rFonts w:eastAsia="Times New Roman"/>
                <w:color w:val="007EC5"/>
              </w:rPr>
              <w:t>konzipieren und erstellen selbstständig eine Beratungsnotiz (Berechnungsschema) und eine Präsentation mit geeigneter Software</w:t>
            </w:r>
          </w:p>
          <w:p w14:paraId="3A1E60B1" w14:textId="0EE6DAB4" w:rsidR="00240600" w:rsidRPr="002A5F99" w:rsidRDefault="00240600" w:rsidP="00B129CF">
            <w:pPr>
              <w:pStyle w:val="Tabellenspiegelstrich"/>
              <w:numPr>
                <w:ilvl w:val="0"/>
                <w:numId w:val="35"/>
              </w:numPr>
            </w:pPr>
            <w:r w:rsidRPr="00613085">
              <w:rPr>
                <w:rFonts w:eastAsia="Times New Roman"/>
                <w:color w:val="ED7D31"/>
              </w:rPr>
              <w:t>reflektieren und beurteilen ihre Handlungsprodukte und Lernergebnisse</w:t>
            </w:r>
            <w:r w:rsidR="00C94FD9" w:rsidRPr="00613085">
              <w:rPr>
                <w:rFonts w:eastAsia="Times New Roman"/>
                <w:color w:val="ED7D31"/>
              </w:rPr>
              <w:t>.</w:t>
            </w:r>
          </w:p>
        </w:tc>
        <w:tc>
          <w:tcPr>
            <w:tcW w:w="7273" w:type="dxa"/>
          </w:tcPr>
          <w:p w14:paraId="3A7044F0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Konkretisierung der Inhalte</w:t>
            </w:r>
          </w:p>
          <w:p w14:paraId="7CA7AF65" w14:textId="54C186E6" w:rsidR="00AC668D" w:rsidRDefault="00AC668D" w:rsidP="00B129CF">
            <w:pPr>
              <w:pStyle w:val="Tabellenspiegelstrich"/>
            </w:pPr>
            <w:r>
              <w:t>tarifliche Einkommensteuer</w:t>
            </w:r>
          </w:p>
          <w:p w14:paraId="2E3FDA2D" w14:textId="71C70F6D" w:rsidR="00240600" w:rsidRDefault="00997005" w:rsidP="00B129CF">
            <w:pPr>
              <w:pStyle w:val="Tabellenspiegelstrich"/>
            </w:pPr>
            <w:r>
              <w:t>Progressionsvorbehalt (§ 32b EStG)</w:t>
            </w:r>
          </w:p>
          <w:p w14:paraId="140366B7" w14:textId="07FA1CA9" w:rsidR="00997005" w:rsidRDefault="00997005" w:rsidP="00B129CF">
            <w:pPr>
              <w:pStyle w:val="Tabellenspiegelstrich"/>
            </w:pPr>
            <w:r>
              <w:t>Steuerermäßigungen (</w:t>
            </w:r>
            <w:r w:rsidR="00387C70">
              <w:t xml:space="preserve">§ 34g EStG, </w:t>
            </w:r>
            <w:r>
              <w:t>§ 35a EStG)</w:t>
            </w:r>
            <w:r w:rsidR="009172B3">
              <w:t xml:space="preserve"> </w:t>
            </w:r>
            <w:r w:rsidR="009172B3" w:rsidRPr="009172B3">
              <w:rPr>
                <w:color w:val="FF0000"/>
              </w:rPr>
              <w:t>-&gt; § 35 EStG</w:t>
            </w:r>
            <w:r w:rsidR="009172B3">
              <w:rPr>
                <w:color w:val="FF0000"/>
              </w:rPr>
              <w:t xml:space="preserve"> (LF8)</w:t>
            </w:r>
          </w:p>
          <w:p w14:paraId="4DDA431C" w14:textId="6BD3D169" w:rsidR="00997005" w:rsidRDefault="00997005" w:rsidP="00B129CF">
            <w:pPr>
              <w:pStyle w:val="Tabellenspiegelstrich"/>
            </w:pPr>
            <w:r>
              <w:t>festzusetzende Einkommensteuer</w:t>
            </w:r>
          </w:p>
          <w:p w14:paraId="20F7A513" w14:textId="3D5ADAD1" w:rsidR="00997005" w:rsidRPr="002A5F99" w:rsidRDefault="00997005" w:rsidP="00B129CF">
            <w:pPr>
              <w:pStyle w:val="Tabellenspiegelstrich"/>
            </w:pPr>
            <w:r>
              <w:t>Steuererstattung bzw. -nachzahlung</w:t>
            </w:r>
          </w:p>
        </w:tc>
      </w:tr>
      <w:tr w:rsidR="00240600" w:rsidRPr="002A5F99" w14:paraId="5270A9E9" w14:textId="77777777" w:rsidTr="00D40AA4">
        <w:trPr>
          <w:trHeight w:val="964"/>
        </w:trPr>
        <w:tc>
          <w:tcPr>
            <w:tcW w:w="14572" w:type="dxa"/>
            <w:gridSpan w:val="2"/>
          </w:tcPr>
          <w:p w14:paraId="1137FF00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lastRenderedPageBreak/>
              <w:t>Lern- und Arbeitstechniken</w:t>
            </w:r>
          </w:p>
          <w:p w14:paraId="2C3E52E1" w14:textId="77777777" w:rsidR="00240600" w:rsidRPr="002A5F99" w:rsidRDefault="00240600" w:rsidP="00D40AA4">
            <w:pPr>
              <w:pStyle w:val="Tabellentext"/>
            </w:pPr>
            <w:r w:rsidRPr="002A5F99">
              <w:rPr>
                <w:rFonts w:eastAsia="Arial"/>
                <w:lang w:val="de"/>
              </w:rPr>
              <w:t>kooperativer Dreischritt „Think-Pair-Share“</w:t>
            </w:r>
            <w:r w:rsidRPr="002A5F99">
              <w:t>, Lerntheke (selbstständiger Umgang mit binnendifferenzierten Lernmaterialien), leistungsheterogene Partnerarbeit</w:t>
            </w:r>
          </w:p>
          <w:p w14:paraId="6DFE5E33" w14:textId="77777777" w:rsidR="00240600" w:rsidRPr="002A5F99" w:rsidRDefault="00240600" w:rsidP="00D40AA4">
            <w:pPr>
              <w:pStyle w:val="Tabellentext"/>
            </w:pPr>
          </w:p>
        </w:tc>
      </w:tr>
      <w:tr w:rsidR="00240600" w:rsidRPr="002A5F99" w14:paraId="679B43C2" w14:textId="77777777" w:rsidTr="00D40AA4">
        <w:trPr>
          <w:trHeight w:val="964"/>
        </w:trPr>
        <w:tc>
          <w:tcPr>
            <w:tcW w:w="14572" w:type="dxa"/>
            <w:gridSpan w:val="2"/>
          </w:tcPr>
          <w:p w14:paraId="47333253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Unterrichtsmaterialien/Fundstelle</w:t>
            </w:r>
          </w:p>
          <w:p w14:paraId="121E7C76" w14:textId="03F75CE9" w:rsidR="00240600" w:rsidRPr="002A5F99" w:rsidRDefault="00240600" w:rsidP="00D40AA4">
            <w:pPr>
              <w:pStyle w:val="Tabellentext"/>
              <w:rPr>
                <w:bCs/>
              </w:rPr>
            </w:pPr>
            <w:r w:rsidRPr="002A5F99">
              <w:t xml:space="preserve">Fachkundebuch, Gesetzestexte, binnendifferenzierte Lernmaterialien, Internet, steuerrechtliche Fachdatenbanken, </w:t>
            </w:r>
            <w:r w:rsidRPr="002A5F99">
              <w:rPr>
                <w:bCs/>
              </w:rPr>
              <w:t>Präsentationssoftware (z. B. Office</w:t>
            </w:r>
            <w:r w:rsidR="00F360EB">
              <w:rPr>
                <w:bCs/>
              </w:rPr>
              <w:t xml:space="preserve"> </w:t>
            </w:r>
            <w:r w:rsidRPr="002A5F99">
              <w:rPr>
                <w:bCs/>
              </w:rPr>
              <w:t>365)</w:t>
            </w:r>
          </w:p>
          <w:p w14:paraId="36997A55" w14:textId="77777777" w:rsidR="00240600" w:rsidRPr="002A5F99" w:rsidRDefault="00B129CF" w:rsidP="00D40AA4">
            <w:pPr>
              <w:pStyle w:val="Tabellentext"/>
            </w:pPr>
            <w:hyperlink r:id="rId7" w:history="1">
              <w:r w:rsidR="00240600" w:rsidRPr="002A5F99">
                <w:rPr>
                  <w:rStyle w:val="Hyperlink"/>
                </w:rPr>
                <w:t>https://www.bpb.de/lernen/grafstat/grafstat-bundestagswahl-2013/148908/think-pair-share</w:t>
              </w:r>
            </w:hyperlink>
          </w:p>
          <w:p w14:paraId="38F6E2F3" w14:textId="77777777" w:rsidR="00240600" w:rsidRPr="002A5F99" w:rsidRDefault="00B129CF" w:rsidP="00D40AA4">
            <w:pPr>
              <w:pStyle w:val="Tabellentext"/>
            </w:pPr>
            <w:hyperlink r:id="rId8" w:history="1">
              <w:r w:rsidR="00240600" w:rsidRPr="002A5F99">
                <w:rPr>
                  <w:rStyle w:val="Hyperlink"/>
                </w:rPr>
                <w:t>https://lehrerfortbildung-bw.de/st_if/bs/if/unterrichtsgestaltung/methodenblaetter/lerntheke.html</w:t>
              </w:r>
            </w:hyperlink>
          </w:p>
          <w:p w14:paraId="726D5679" w14:textId="77777777" w:rsidR="00240600" w:rsidRPr="002A5F99" w:rsidRDefault="00240600" w:rsidP="00D40AA4">
            <w:pPr>
              <w:pStyle w:val="Tabellentext"/>
            </w:pPr>
          </w:p>
        </w:tc>
      </w:tr>
      <w:tr w:rsidR="00240600" w:rsidRPr="002A5F99" w14:paraId="5B5F7652" w14:textId="77777777" w:rsidTr="00D40AA4">
        <w:trPr>
          <w:trHeight w:val="964"/>
        </w:trPr>
        <w:tc>
          <w:tcPr>
            <w:tcW w:w="14572" w:type="dxa"/>
            <w:gridSpan w:val="2"/>
          </w:tcPr>
          <w:p w14:paraId="4A836795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Organisatorische Hinweise</w:t>
            </w:r>
          </w:p>
          <w:p w14:paraId="2E298D81" w14:textId="77777777" w:rsidR="00240600" w:rsidRPr="002A5F99" w:rsidRDefault="00240600" w:rsidP="00D40AA4">
            <w:pPr>
              <w:pStyle w:val="Tabellentext"/>
              <w:spacing w:before="0"/>
              <w:rPr>
                <w:i/>
              </w:rPr>
            </w:pPr>
            <w:r w:rsidRPr="002A5F99">
              <w:rPr>
                <w:i/>
              </w:rPr>
              <w:t>Verknüpfung mit DATEV-Tag bzw. Differenzierungskurs</w:t>
            </w:r>
          </w:p>
          <w:p w14:paraId="0B26678E" w14:textId="77777777" w:rsidR="00240600" w:rsidRPr="002A5F99" w:rsidRDefault="00240600" w:rsidP="00D40AA4">
            <w:pPr>
              <w:pStyle w:val="Tabellentext"/>
              <w:spacing w:before="0"/>
            </w:pPr>
            <w:r w:rsidRPr="002A5F99">
              <w:rPr>
                <w:iCs/>
              </w:rPr>
              <w:t>Ggf. PC-Raum mit Internetzugang und geeigneter Software</w:t>
            </w:r>
          </w:p>
        </w:tc>
      </w:tr>
    </w:tbl>
    <w:p w14:paraId="02B72927" w14:textId="1597BA2F" w:rsidR="00B0246B" w:rsidRPr="002A5F99" w:rsidRDefault="00240600" w:rsidP="00DF721C">
      <w:pPr>
        <w:spacing w:before="120" w:after="0"/>
      </w:pPr>
      <w:r w:rsidRPr="002A5F99">
        <w:rPr>
          <w:color w:val="ED7D31"/>
        </w:rPr>
        <w:t>Medienkompetenz</w:t>
      </w:r>
      <w:r w:rsidRPr="002A5F99">
        <w:rPr>
          <w:color w:val="000000"/>
        </w:rPr>
        <w:t xml:space="preserve">, </w:t>
      </w:r>
      <w:r w:rsidRPr="002A5F99">
        <w:rPr>
          <w:color w:val="007EC5"/>
        </w:rPr>
        <w:t>Anwendungs-Know-how</w:t>
      </w:r>
      <w:r w:rsidRPr="002A5F99">
        <w:rPr>
          <w:color w:val="000000"/>
        </w:rPr>
        <w:t xml:space="preserve">, </w:t>
      </w:r>
      <w:r w:rsidRPr="002A5F99">
        <w:rPr>
          <w:color w:val="4CB848"/>
        </w:rPr>
        <w:t xml:space="preserve">Informatische Grundkenntnisse </w:t>
      </w:r>
      <w:r w:rsidRPr="002A5F99">
        <w:t>(Bitte markieren Sie alle Aussagen zu diesen drei Kompetenzbereichen der Digitalisierung in den entsprechenden Farben.)</w:t>
      </w:r>
    </w:p>
    <w:sectPr w:rsidR="00B0246B" w:rsidRPr="002A5F99" w:rsidSect="00781367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DF9A" w14:textId="77777777" w:rsidR="001677F1" w:rsidRDefault="001677F1">
      <w:r>
        <w:separator/>
      </w:r>
    </w:p>
    <w:p w14:paraId="0974ECE4" w14:textId="77777777" w:rsidR="001677F1" w:rsidRDefault="001677F1"/>
    <w:p w14:paraId="65B0A76A" w14:textId="77777777" w:rsidR="001677F1" w:rsidRDefault="001677F1"/>
  </w:endnote>
  <w:endnote w:type="continuationSeparator" w:id="0">
    <w:p w14:paraId="17BDACFC" w14:textId="77777777" w:rsidR="001677F1" w:rsidRDefault="001677F1">
      <w:r>
        <w:continuationSeparator/>
      </w:r>
    </w:p>
    <w:p w14:paraId="62A2029B" w14:textId="77777777" w:rsidR="001677F1" w:rsidRDefault="001677F1"/>
    <w:p w14:paraId="7C4AE3F3" w14:textId="77777777" w:rsidR="001677F1" w:rsidRDefault="00167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15DD" w14:textId="43061238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129CF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B129C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2711" w14:textId="77777777" w:rsidR="001677F1" w:rsidRDefault="001677F1">
      <w:r>
        <w:separator/>
      </w:r>
    </w:p>
  </w:footnote>
  <w:footnote w:type="continuationSeparator" w:id="0">
    <w:p w14:paraId="0F66B071" w14:textId="77777777" w:rsidR="001677F1" w:rsidRDefault="001677F1">
      <w:r>
        <w:continuationSeparator/>
      </w:r>
    </w:p>
    <w:p w14:paraId="718B9992" w14:textId="77777777" w:rsidR="001677F1" w:rsidRDefault="001677F1"/>
    <w:p w14:paraId="138F6190" w14:textId="77777777" w:rsidR="001677F1" w:rsidRDefault="00167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0348" w14:textId="56FEEF92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9A76A04"/>
    <w:multiLevelType w:val="hybridMultilevel"/>
    <w:tmpl w:val="B39AB39A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EB488D"/>
    <w:multiLevelType w:val="hybridMultilevel"/>
    <w:tmpl w:val="065C32B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73EAB"/>
    <w:multiLevelType w:val="hybridMultilevel"/>
    <w:tmpl w:val="E148462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871120"/>
    <w:multiLevelType w:val="hybridMultilevel"/>
    <w:tmpl w:val="192860AC"/>
    <w:lvl w:ilvl="0" w:tplc="FF24B14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C24DBE"/>
    <w:multiLevelType w:val="hybridMultilevel"/>
    <w:tmpl w:val="7B3079B8"/>
    <w:lvl w:ilvl="0" w:tplc="0E1CAA2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4508E4"/>
    <w:multiLevelType w:val="hybridMultilevel"/>
    <w:tmpl w:val="6EE22E3E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19"/>
  </w:num>
  <w:num w:numId="14">
    <w:abstractNumId w:val="23"/>
  </w:num>
  <w:num w:numId="15">
    <w:abstractNumId w:val="21"/>
  </w:num>
  <w:num w:numId="16">
    <w:abstractNumId w:val="26"/>
  </w:num>
  <w:num w:numId="17">
    <w:abstractNumId w:val="11"/>
  </w:num>
  <w:num w:numId="18">
    <w:abstractNumId w:val="17"/>
  </w:num>
  <w:num w:numId="19">
    <w:abstractNumId w:val="28"/>
  </w:num>
  <w:num w:numId="20">
    <w:abstractNumId w:val="18"/>
  </w:num>
  <w:num w:numId="21">
    <w:abstractNumId w:val="16"/>
  </w:num>
  <w:num w:numId="22">
    <w:abstractNumId w:val="24"/>
  </w:num>
  <w:num w:numId="23">
    <w:abstractNumId w:val="10"/>
  </w:num>
  <w:num w:numId="24">
    <w:abstractNumId w:val="15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14"/>
  </w:num>
  <w:num w:numId="32">
    <w:abstractNumId w:val="13"/>
  </w:num>
  <w:num w:numId="33">
    <w:abstractNumId w:val="27"/>
  </w:num>
  <w:num w:numId="34">
    <w:abstractNumId w:val="12"/>
  </w:num>
  <w:num w:numId="3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12D"/>
    <w:rsid w:val="00003C42"/>
    <w:rsid w:val="0000637A"/>
    <w:rsid w:val="00012714"/>
    <w:rsid w:val="00013372"/>
    <w:rsid w:val="00021944"/>
    <w:rsid w:val="000304B4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60ED"/>
    <w:rsid w:val="0006747A"/>
    <w:rsid w:val="00070F48"/>
    <w:rsid w:val="000762AF"/>
    <w:rsid w:val="00084BB5"/>
    <w:rsid w:val="00084C08"/>
    <w:rsid w:val="00084C73"/>
    <w:rsid w:val="00091631"/>
    <w:rsid w:val="00092E8B"/>
    <w:rsid w:val="0009333C"/>
    <w:rsid w:val="0009508F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0B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4FAB"/>
    <w:rsid w:val="00116000"/>
    <w:rsid w:val="00120FFE"/>
    <w:rsid w:val="00122CB4"/>
    <w:rsid w:val="001233D9"/>
    <w:rsid w:val="00123766"/>
    <w:rsid w:val="00124CFC"/>
    <w:rsid w:val="001264BA"/>
    <w:rsid w:val="00126FF0"/>
    <w:rsid w:val="00127ED5"/>
    <w:rsid w:val="0013126F"/>
    <w:rsid w:val="00133DB9"/>
    <w:rsid w:val="0013413B"/>
    <w:rsid w:val="001343FB"/>
    <w:rsid w:val="001354F1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7F1"/>
    <w:rsid w:val="00173360"/>
    <w:rsid w:val="0017350B"/>
    <w:rsid w:val="0017355D"/>
    <w:rsid w:val="0017483C"/>
    <w:rsid w:val="00177828"/>
    <w:rsid w:val="00183E64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6E9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735"/>
    <w:rsid w:val="0021496C"/>
    <w:rsid w:val="00216C9A"/>
    <w:rsid w:val="00220CC3"/>
    <w:rsid w:val="002268EC"/>
    <w:rsid w:val="00227230"/>
    <w:rsid w:val="0023159B"/>
    <w:rsid w:val="00234030"/>
    <w:rsid w:val="002353C0"/>
    <w:rsid w:val="00235925"/>
    <w:rsid w:val="00236805"/>
    <w:rsid w:val="002371ED"/>
    <w:rsid w:val="002371FF"/>
    <w:rsid w:val="0024038C"/>
    <w:rsid w:val="00240600"/>
    <w:rsid w:val="0024122D"/>
    <w:rsid w:val="002414B2"/>
    <w:rsid w:val="00251813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4B67"/>
    <w:rsid w:val="00282545"/>
    <w:rsid w:val="0028356D"/>
    <w:rsid w:val="00283ACF"/>
    <w:rsid w:val="002855F6"/>
    <w:rsid w:val="00285DE3"/>
    <w:rsid w:val="00286508"/>
    <w:rsid w:val="002911D5"/>
    <w:rsid w:val="00293219"/>
    <w:rsid w:val="002A53F8"/>
    <w:rsid w:val="002A5F9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5161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4CA1"/>
    <w:rsid w:val="00326D20"/>
    <w:rsid w:val="00330971"/>
    <w:rsid w:val="00334D1E"/>
    <w:rsid w:val="00336E6E"/>
    <w:rsid w:val="0033764D"/>
    <w:rsid w:val="00340818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67904"/>
    <w:rsid w:val="0037507D"/>
    <w:rsid w:val="00375961"/>
    <w:rsid w:val="00381429"/>
    <w:rsid w:val="00381D4C"/>
    <w:rsid w:val="00383740"/>
    <w:rsid w:val="0038430D"/>
    <w:rsid w:val="00386826"/>
    <w:rsid w:val="00387C70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320"/>
    <w:rsid w:val="003A25F1"/>
    <w:rsid w:val="003A3CBA"/>
    <w:rsid w:val="003A670F"/>
    <w:rsid w:val="003B10CB"/>
    <w:rsid w:val="003B4743"/>
    <w:rsid w:val="003B4AEA"/>
    <w:rsid w:val="003B67DB"/>
    <w:rsid w:val="003B740E"/>
    <w:rsid w:val="003C167C"/>
    <w:rsid w:val="003C1F2F"/>
    <w:rsid w:val="003C2510"/>
    <w:rsid w:val="003C36F0"/>
    <w:rsid w:val="003C4FBC"/>
    <w:rsid w:val="003C561A"/>
    <w:rsid w:val="003C6D85"/>
    <w:rsid w:val="003D55A3"/>
    <w:rsid w:val="003D690D"/>
    <w:rsid w:val="003E5DC3"/>
    <w:rsid w:val="003E6812"/>
    <w:rsid w:val="003E69BF"/>
    <w:rsid w:val="003F2587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3BF8"/>
    <w:rsid w:val="00464089"/>
    <w:rsid w:val="00474CA8"/>
    <w:rsid w:val="004764F6"/>
    <w:rsid w:val="00476D68"/>
    <w:rsid w:val="00476D8C"/>
    <w:rsid w:val="00476EF2"/>
    <w:rsid w:val="00480E5D"/>
    <w:rsid w:val="00481FDF"/>
    <w:rsid w:val="00483DBF"/>
    <w:rsid w:val="00485D7F"/>
    <w:rsid w:val="00491506"/>
    <w:rsid w:val="00491910"/>
    <w:rsid w:val="004919EB"/>
    <w:rsid w:val="004970B6"/>
    <w:rsid w:val="004973C4"/>
    <w:rsid w:val="0049774F"/>
    <w:rsid w:val="004A0021"/>
    <w:rsid w:val="004A0125"/>
    <w:rsid w:val="004A413F"/>
    <w:rsid w:val="004A716B"/>
    <w:rsid w:val="004A79C2"/>
    <w:rsid w:val="004B084D"/>
    <w:rsid w:val="004B117A"/>
    <w:rsid w:val="004B1F57"/>
    <w:rsid w:val="004B3E4A"/>
    <w:rsid w:val="004B4ECF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151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DD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4C5"/>
    <w:rsid w:val="005A10C2"/>
    <w:rsid w:val="005A1EA9"/>
    <w:rsid w:val="005A40FB"/>
    <w:rsid w:val="005A4BC0"/>
    <w:rsid w:val="005A670C"/>
    <w:rsid w:val="005A6CA6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308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4E13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748"/>
    <w:rsid w:val="006D1E63"/>
    <w:rsid w:val="006D230D"/>
    <w:rsid w:val="006E13EC"/>
    <w:rsid w:val="006E7D8D"/>
    <w:rsid w:val="006F0EE1"/>
    <w:rsid w:val="006F1B96"/>
    <w:rsid w:val="006F508D"/>
    <w:rsid w:val="006F6885"/>
    <w:rsid w:val="007015A5"/>
    <w:rsid w:val="007033C7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14A2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1E56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560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47824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4922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38B"/>
    <w:rsid w:val="00901394"/>
    <w:rsid w:val="00901D4C"/>
    <w:rsid w:val="009063C9"/>
    <w:rsid w:val="00910359"/>
    <w:rsid w:val="0091314E"/>
    <w:rsid w:val="00914FD8"/>
    <w:rsid w:val="009172B3"/>
    <w:rsid w:val="00917BD6"/>
    <w:rsid w:val="009200C7"/>
    <w:rsid w:val="009201B4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38FB"/>
    <w:rsid w:val="0095620B"/>
    <w:rsid w:val="009563F5"/>
    <w:rsid w:val="009578BC"/>
    <w:rsid w:val="009607A8"/>
    <w:rsid w:val="009624E3"/>
    <w:rsid w:val="00964ABC"/>
    <w:rsid w:val="009653DD"/>
    <w:rsid w:val="00965CD0"/>
    <w:rsid w:val="00967195"/>
    <w:rsid w:val="00967E19"/>
    <w:rsid w:val="00970940"/>
    <w:rsid w:val="009721F6"/>
    <w:rsid w:val="00972DFF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005"/>
    <w:rsid w:val="00997384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6F39"/>
    <w:rsid w:val="009B7349"/>
    <w:rsid w:val="009B7F1C"/>
    <w:rsid w:val="009C081C"/>
    <w:rsid w:val="009C0972"/>
    <w:rsid w:val="009C68AB"/>
    <w:rsid w:val="009C6D47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468D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273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68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246B"/>
    <w:rsid w:val="00B062DB"/>
    <w:rsid w:val="00B07C65"/>
    <w:rsid w:val="00B129CF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0F9"/>
    <w:rsid w:val="00B912AB"/>
    <w:rsid w:val="00B94DE7"/>
    <w:rsid w:val="00B94F58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15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126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6885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A7A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A5F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4FD9"/>
    <w:rsid w:val="00C9648B"/>
    <w:rsid w:val="00CA1D31"/>
    <w:rsid w:val="00CA29A0"/>
    <w:rsid w:val="00CA2E9D"/>
    <w:rsid w:val="00CA59C9"/>
    <w:rsid w:val="00CA5AF4"/>
    <w:rsid w:val="00CC1F61"/>
    <w:rsid w:val="00CC2011"/>
    <w:rsid w:val="00CC5964"/>
    <w:rsid w:val="00CD01A4"/>
    <w:rsid w:val="00CD1F11"/>
    <w:rsid w:val="00CD4D2B"/>
    <w:rsid w:val="00CD7D31"/>
    <w:rsid w:val="00CE025F"/>
    <w:rsid w:val="00CE02CB"/>
    <w:rsid w:val="00CE17F4"/>
    <w:rsid w:val="00CE1831"/>
    <w:rsid w:val="00CE2F79"/>
    <w:rsid w:val="00CE772D"/>
    <w:rsid w:val="00CF1F7C"/>
    <w:rsid w:val="00CF27D7"/>
    <w:rsid w:val="00CF5C3D"/>
    <w:rsid w:val="00CF713C"/>
    <w:rsid w:val="00CF73DE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50D"/>
    <w:rsid w:val="00D273A4"/>
    <w:rsid w:val="00D314F7"/>
    <w:rsid w:val="00D34860"/>
    <w:rsid w:val="00D369D2"/>
    <w:rsid w:val="00D36C11"/>
    <w:rsid w:val="00D36CEB"/>
    <w:rsid w:val="00D42F3E"/>
    <w:rsid w:val="00D44718"/>
    <w:rsid w:val="00D536AE"/>
    <w:rsid w:val="00D6108B"/>
    <w:rsid w:val="00D61955"/>
    <w:rsid w:val="00D62EA7"/>
    <w:rsid w:val="00D6414D"/>
    <w:rsid w:val="00D64C9D"/>
    <w:rsid w:val="00D65947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4FCD"/>
    <w:rsid w:val="00D96377"/>
    <w:rsid w:val="00DA1569"/>
    <w:rsid w:val="00DA193F"/>
    <w:rsid w:val="00DA3F3C"/>
    <w:rsid w:val="00DA49CB"/>
    <w:rsid w:val="00DA4BC4"/>
    <w:rsid w:val="00DA4E08"/>
    <w:rsid w:val="00DA6329"/>
    <w:rsid w:val="00DA73B6"/>
    <w:rsid w:val="00DA7FF1"/>
    <w:rsid w:val="00DB2744"/>
    <w:rsid w:val="00DB453E"/>
    <w:rsid w:val="00DB56FC"/>
    <w:rsid w:val="00DC0F3B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26B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0534A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7C3E"/>
    <w:rsid w:val="00E5174E"/>
    <w:rsid w:val="00E540B5"/>
    <w:rsid w:val="00E553BD"/>
    <w:rsid w:val="00E61020"/>
    <w:rsid w:val="00E614A0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67B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62A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599A"/>
    <w:rsid w:val="00EF6529"/>
    <w:rsid w:val="00EF6612"/>
    <w:rsid w:val="00EF67EB"/>
    <w:rsid w:val="00F01566"/>
    <w:rsid w:val="00F01E23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442"/>
    <w:rsid w:val="00F337F3"/>
    <w:rsid w:val="00F34E82"/>
    <w:rsid w:val="00F34EF4"/>
    <w:rsid w:val="00F35953"/>
    <w:rsid w:val="00F360EB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32F0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77FC"/>
    <w:rsid w:val="00FD0C28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9D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if/bs/if/unterrichtsgestaltung/methodenblaetter/lernthek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b.de/lernen/grafstat/grafstat-bundestagswahl-2013/148908/think-pair-sh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2022-11-07T11:23:00Z</dcterms:created>
  <dcterms:modified xsi:type="dcterms:W3CDTF">2022-11-07T11:30:00Z</dcterms:modified>
</cp:coreProperties>
</file>