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D884" w14:textId="308D8CFB" w:rsidR="000C6A57" w:rsidRPr="002A5F99" w:rsidRDefault="000C6A57" w:rsidP="000C6A57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>
        <w:rPr>
          <w:b/>
          <w:bCs/>
          <w:sz w:val="28"/>
          <w:szCs w:val="28"/>
        </w:rPr>
        <w:t>4 – Einkommensteuererklärungen von Beschäftigten erstellen (80 UStd.)</w:t>
      </w: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0C6A57" w:rsidRPr="002A5F99" w14:paraId="099AFCAA" w14:textId="77777777" w:rsidTr="00823106">
        <w:trPr>
          <w:trHeight w:val="6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140F5FB" w14:textId="77777777" w:rsidR="000C6A57" w:rsidRPr="00DE426B" w:rsidRDefault="000C6A57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429503D" w14:textId="77777777" w:rsidR="000C6A57" w:rsidRPr="002A5F99" w:rsidRDefault="000C6A57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FF7F486" w14:textId="77777777" w:rsidR="000C6A57" w:rsidRPr="00DE426B" w:rsidRDefault="000C6A57" w:rsidP="00823106">
            <w:pPr>
              <w:spacing w:before="0" w:after="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266C93A5" w14:textId="77777777" w:rsidR="000C6A57" w:rsidRPr="002A5F99" w:rsidRDefault="000C6A57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2E68E80D" w14:textId="77777777" w:rsidR="000C6A57" w:rsidRPr="002A5F99" w:rsidRDefault="000C6A57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0C6A57" w:rsidRPr="002A5F99" w14:paraId="13EBCD6E" w14:textId="77777777" w:rsidTr="00823106">
        <w:trPr>
          <w:trHeight w:val="229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9DBB33E" w14:textId="77777777" w:rsidR="000C6A57" w:rsidRPr="00DE426B" w:rsidRDefault="000C6A57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C780ED1" w14:textId="77777777" w:rsidR="000C6A57" w:rsidRPr="002A5F99" w:rsidRDefault="000C6A57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>
              <w:rPr>
                <w:rFonts w:eastAsia="Calibri"/>
                <w:lang w:eastAsia="en-US"/>
              </w:rPr>
              <w:t>Die Einkommensteuerpflicht von</w:t>
            </w:r>
            <w:r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4DD31BB" w14:textId="77777777" w:rsidR="000C6A57" w:rsidRPr="00DE426B" w:rsidRDefault="000C6A57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74C9A98C" w14:textId="77777777" w:rsidR="000C6A57" w:rsidRPr="002A5F99" w:rsidRDefault="000C6A57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777A5F29" w14:textId="77777777" w:rsidR="000C6A57" w:rsidRPr="002A5F99" w:rsidRDefault="000C6A57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2CA1991D" w14:textId="77777777" w:rsidR="000C6A57" w:rsidRDefault="000C6A57" w:rsidP="00823106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4E7BB2B2" w14:textId="77777777" w:rsidR="000C6A57" w:rsidRPr="002A5F99" w:rsidRDefault="000C6A57" w:rsidP="00823106">
            <w:pPr>
              <w:spacing w:before="0" w:after="0"/>
              <w:jc w:val="left"/>
              <w:rPr>
                <w:bCs/>
              </w:rPr>
            </w:pPr>
          </w:p>
          <w:p w14:paraId="7A83233D" w14:textId="77777777" w:rsidR="000C6A57" w:rsidRPr="002A5F99" w:rsidRDefault="000C6A57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0C6A57" w:rsidRPr="002A5F99" w14:paraId="6D57415D" w14:textId="77777777" w:rsidTr="00823106">
        <w:trPr>
          <w:trHeight w:val="292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834A896" w14:textId="77777777" w:rsidR="000C6A57" w:rsidRPr="00DE426B" w:rsidRDefault="000C6A57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4.2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77346219" w14:textId="77777777" w:rsidR="000C6A57" w:rsidRPr="002A5F99" w:rsidRDefault="000C6A57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FA45098" w14:textId="77777777" w:rsidR="000C6A57" w:rsidRPr="00DE426B" w:rsidRDefault="000C6A57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DB4A645" w14:textId="77777777" w:rsidR="000C6A57" w:rsidRPr="002A5F99" w:rsidRDefault="000C6A57" w:rsidP="00823106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Sie sondieren die Antrags- und Pflichtveranlagung und deren Gründe mit entsprechenden Abgabefristen.</w:t>
            </w:r>
            <w:r w:rsidRPr="002A5F99">
              <w:t xml:space="preserve"> </w:t>
            </w:r>
          </w:p>
          <w:p w14:paraId="265B70BF" w14:textId="77777777" w:rsidR="000C6A57" w:rsidRPr="002A5F99" w:rsidRDefault="000C6A57" w:rsidP="00823106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1D011466" w14:textId="77777777" w:rsidR="000C6A57" w:rsidRDefault="000C6A57" w:rsidP="00823106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4D784BB2" w14:textId="77777777" w:rsidR="000C6A57" w:rsidRPr="00DE426B" w:rsidRDefault="000C6A57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1AFCBFD0" w14:textId="77777777" w:rsidR="000C6A57" w:rsidRPr="002A5F99" w:rsidRDefault="000C6A57" w:rsidP="00823106">
            <w:pPr>
              <w:spacing w:before="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0C6A57" w:rsidRPr="002A5F99" w14:paraId="719946B6" w14:textId="77777777" w:rsidTr="00823106">
        <w:trPr>
          <w:trHeight w:val="1770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7736C78" w14:textId="77777777" w:rsidR="000C6A57" w:rsidRPr="00DE426B" w:rsidRDefault="000C6A57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32150FC9" w14:textId="77777777" w:rsidR="000C6A57" w:rsidRPr="002A5F99" w:rsidRDefault="000C6A57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6D0B63D7" w14:textId="77777777" w:rsidR="000C6A57" w:rsidRPr="002A5F99" w:rsidRDefault="000C6A57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902166E" w14:textId="77777777" w:rsidR="000C6A57" w:rsidRPr="00DE426B" w:rsidRDefault="000C6A57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10236663" w14:textId="77777777" w:rsidR="000C6A57" w:rsidRPr="002A5F99" w:rsidRDefault="000C6A57" w:rsidP="00823106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391B9113" w14:textId="77777777" w:rsidR="000C6A57" w:rsidRPr="002A5F99" w:rsidRDefault="000C6A57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0C6A57" w:rsidRPr="002A5F99" w14:paraId="723B0E35" w14:textId="77777777" w:rsidTr="00823106">
        <w:trPr>
          <w:trHeight w:val="587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203AB8E4" w14:textId="77777777" w:rsidR="000C6A57" w:rsidRPr="00DE426B" w:rsidRDefault="000C6A57" w:rsidP="00823106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4.4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07D3D793" w14:textId="77777777" w:rsidR="000C6A57" w:rsidRPr="002A5F99" w:rsidRDefault="000C6A57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6501E696" w14:textId="77777777" w:rsidR="000C6A57" w:rsidRPr="00DE426B" w:rsidRDefault="000C6A57" w:rsidP="00823106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14F7ED93" w14:textId="77777777" w:rsidR="000C6A57" w:rsidRPr="002A5F99" w:rsidRDefault="000C6A57" w:rsidP="00823106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661D528" w14:textId="77777777" w:rsidR="000C6A57" w:rsidRPr="002A5F99" w:rsidRDefault="000C6A57" w:rsidP="00823106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0C6A57" w:rsidRPr="002A5F99" w14:paraId="55DD75EE" w14:textId="77777777" w:rsidTr="00823106">
        <w:trPr>
          <w:trHeight w:val="14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E9D0DAC" w14:textId="77777777" w:rsidR="000C6A57" w:rsidRPr="00DE426B" w:rsidRDefault="000C6A57" w:rsidP="00823106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4.5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4A227A97" w14:textId="77777777" w:rsidR="000C6A57" w:rsidRPr="002A5F99" w:rsidRDefault="000C6A57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27C5DD68" w14:textId="77777777" w:rsidR="000C6A57" w:rsidRPr="00DE426B" w:rsidRDefault="000C6A57" w:rsidP="00823106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6CCB9D7E" w14:textId="77777777" w:rsidR="000C6A57" w:rsidRPr="002A5F99" w:rsidRDefault="000C6A57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A65EC40" w14:textId="77777777" w:rsidR="000C6A57" w:rsidRDefault="000C6A57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1325284C" w14:textId="77777777" w:rsidR="000C6A57" w:rsidRPr="002A5F99" w:rsidRDefault="000C6A57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1387A54F" w14:textId="77777777" w:rsidR="000C6A57" w:rsidRPr="002A5F99" w:rsidRDefault="000C6A57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2C020813" w14:textId="77777777" w:rsidR="000C6A57" w:rsidRPr="002A5F99" w:rsidRDefault="000C6A57" w:rsidP="000C6A57">
      <w:pPr>
        <w:spacing w:before="0" w:after="0"/>
        <w:jc w:val="left"/>
      </w:pPr>
    </w:p>
    <w:p w14:paraId="64FC87DC" w14:textId="77777777" w:rsidR="000C6A57" w:rsidRPr="002A5F99" w:rsidRDefault="000C6A57" w:rsidP="000C6A57">
      <w:pPr>
        <w:spacing w:before="0" w:after="0"/>
        <w:jc w:val="left"/>
        <w:rPr>
          <w:b/>
          <w:bCs/>
        </w:rPr>
      </w:pPr>
      <w:r w:rsidRPr="002A5F99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4848467B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1F91E4B4" w14:textId="77777777" w:rsidTr="001904DF">
              <w:tc>
                <w:tcPr>
                  <w:tcW w:w="14572" w:type="dxa"/>
                  <w:gridSpan w:val="2"/>
                  <w:tcBorders>
                    <w:left w:val="nil"/>
                    <w:bottom w:val="single" w:sz="6" w:space="0" w:color="auto"/>
                  </w:tcBorders>
                </w:tcPr>
                <w:p w14:paraId="66E3D7CC" w14:textId="2E0C24B6" w:rsidR="00FF32F3" w:rsidRPr="00FF53F1" w:rsidRDefault="000C6A57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  <w:r w:rsidR="00FF32F3" w:rsidRPr="00FF53F1">
                    <w:rPr>
                      <w:b/>
                    </w:rPr>
                    <w:t>. Ausbildungsjahr</w:t>
                  </w:r>
                  <w:r>
                    <w:rPr>
                      <w:b/>
                    </w:rPr>
                    <w:t xml:space="preserve"> </w:t>
                  </w:r>
                </w:p>
                <w:p w14:paraId="4DDAAC35" w14:textId="0EFF6561" w:rsidR="00FF32F3" w:rsidRPr="00FF53F1" w:rsidRDefault="000C6A57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>
                    <w:rPr>
                      <w:b/>
                    </w:rPr>
                    <w:t>Bündelungsfach</w:t>
                  </w:r>
                  <w:r w:rsidR="00FF32F3" w:rsidRPr="00FF53F1">
                    <w:tab/>
                  </w:r>
                  <w:r w:rsidR="00E8238D">
                    <w:t>Steuerrechtliche Sachverhalte</w:t>
                  </w:r>
                </w:p>
                <w:p w14:paraId="590D419F" w14:textId="404476B0" w:rsidR="00FF32F3" w:rsidRPr="00FF53F1" w:rsidRDefault="000C6A57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Lernfeld 4</w:t>
                  </w:r>
                  <w:r w:rsidR="00FF32F3" w:rsidRPr="00FF53F1">
                    <w:tab/>
                  </w:r>
                  <w:r w:rsidR="00E8238D">
                    <w:t>Einkommensteuererklärung von Beschäftigten erstellen</w:t>
                  </w:r>
                  <w:r w:rsidR="00FF32F3" w:rsidRPr="00FF53F1">
                    <w:t xml:space="preserve"> (</w:t>
                  </w:r>
                  <w:r w:rsidR="00E8238D">
                    <w:t xml:space="preserve">80 </w:t>
                  </w:r>
                  <w:r w:rsidR="00FF32F3" w:rsidRPr="00FF53F1">
                    <w:t>UStd.)</w:t>
                  </w:r>
                </w:p>
                <w:p w14:paraId="6C9B5ED4" w14:textId="6E56AEF7" w:rsidR="00FF32F3" w:rsidRPr="00FF53F1" w:rsidRDefault="000C6A57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4.2</w:t>
                  </w:r>
                  <w:r w:rsidR="00FF32F3" w:rsidRPr="00FF53F1">
                    <w:tab/>
                  </w:r>
                  <w:r w:rsidR="00E8238D">
                    <w:t>Die Einkünfte aus nichtselbstständiger Arbeit und den Gesamtbetrag der Einkünfte ermitteln (24</w:t>
                  </w:r>
                  <w:r w:rsidR="00FF32F3" w:rsidRPr="00FF53F1">
                    <w:t xml:space="preserve"> UStd.)</w:t>
                  </w:r>
                </w:p>
              </w:tc>
            </w:tr>
            <w:tr w:rsidR="00FF32F3" w:rsidRPr="00FF53F1" w14:paraId="2BA46D6D" w14:textId="77777777" w:rsidTr="001904DF">
              <w:trPr>
                <w:trHeight w:val="1814"/>
              </w:trPr>
              <w:tc>
                <w:tcPr>
                  <w:tcW w:w="729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AFF8044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76E8975A" w14:textId="21FC1699" w:rsidR="00FF32F3" w:rsidRDefault="00DA63C9" w:rsidP="00FF32F3">
                  <w:pPr>
                    <w:pStyle w:val="Tabellentext"/>
                    <w:spacing w:before="0"/>
                  </w:pPr>
                  <w:r>
                    <w:t xml:space="preserve">Marek </w:t>
                  </w:r>
                  <w:proofErr w:type="spellStart"/>
                  <w:r>
                    <w:t>Stoch</w:t>
                  </w:r>
                  <w:proofErr w:type="spellEnd"/>
                  <w:r w:rsidR="009D7325">
                    <w:t xml:space="preserve"> arbeitet als Verkaufsleiter (Angestellter) im Autohaus „</w:t>
                  </w:r>
                  <w:proofErr w:type="spellStart"/>
                  <w:r w:rsidR="009D7325">
                    <w:t>Opler</w:t>
                  </w:r>
                  <w:proofErr w:type="spellEnd"/>
                  <w:r w:rsidR="009D7325">
                    <w:t xml:space="preserve"> Motors AG“. Ihm stehen neben seinem Bruttogehalt weitere Sachbezüge zu (z.</w:t>
                  </w:r>
                  <w:r w:rsidR="00256D4C">
                    <w:t xml:space="preserve"> </w:t>
                  </w:r>
                  <w:r w:rsidR="009D7325">
                    <w:t>B. Dienstwagen</w:t>
                  </w:r>
                  <w:r w:rsidR="00361783">
                    <w:t>,</w:t>
                  </w:r>
                  <w:r w:rsidR="009D7325">
                    <w:t xml:space="preserve"> Smartphone). </w:t>
                  </w:r>
                  <w:r w:rsidR="000614AF">
                    <w:t xml:space="preserve">Herr </w:t>
                  </w:r>
                  <w:proofErr w:type="spellStart"/>
                  <w:r w:rsidR="000614AF">
                    <w:t>Stoch</w:t>
                  </w:r>
                  <w:proofErr w:type="spellEnd"/>
                  <w:r w:rsidR="009D7325">
                    <w:t xml:space="preserve"> arbeitet teilweise von zu Hause aus und absolviert regelmäßig Dienstreisen. Er </w:t>
                  </w:r>
                  <w:r w:rsidR="000614AF">
                    <w:t>ist seit drei Jahren geschieden und h</w:t>
                  </w:r>
                  <w:r w:rsidR="009D7325">
                    <w:t xml:space="preserve">at </w:t>
                  </w:r>
                  <w:r>
                    <w:t>zwei Kinder, die bei ihm im Haushalt leben.</w:t>
                  </w:r>
                </w:p>
                <w:p w14:paraId="2C7A74FB" w14:textId="7513746A" w:rsidR="00FF32F3" w:rsidRDefault="00DA63C9" w:rsidP="00570681">
                  <w:pPr>
                    <w:pStyle w:val="Tabellentext"/>
                    <w:spacing w:before="0"/>
                  </w:pPr>
                  <w:r>
                    <w:t>Seine Elt</w:t>
                  </w:r>
                  <w:r w:rsidR="000614AF">
                    <w:t>er</w:t>
                  </w:r>
                  <w:r>
                    <w:t xml:space="preserve">n Beata und Kamil </w:t>
                  </w:r>
                  <w:proofErr w:type="spellStart"/>
                  <w:r>
                    <w:t>Stoch</w:t>
                  </w:r>
                  <w:proofErr w:type="spellEnd"/>
                  <w:r>
                    <w:t xml:space="preserve"> gehen im laufenden Jahr in </w:t>
                  </w:r>
                  <w:r w:rsidR="00570681">
                    <w:t>Altersr</w:t>
                  </w:r>
                  <w:r>
                    <w:t>ente/in Pension.</w:t>
                  </w:r>
                </w:p>
                <w:p w14:paraId="5403520D" w14:textId="3588FFCE" w:rsidR="00570681" w:rsidRPr="00FF53F1" w:rsidRDefault="00570681" w:rsidP="00570681">
                  <w:pPr>
                    <w:pStyle w:val="Tabellentext"/>
                    <w:spacing w:before="0"/>
                  </w:pPr>
                  <w:r>
                    <w:t xml:space="preserve">Großfamilie </w:t>
                  </w:r>
                  <w:proofErr w:type="spellStart"/>
                  <w:r>
                    <w:t>Stoch</w:t>
                  </w:r>
                  <w:proofErr w:type="spellEnd"/>
                  <w:r>
                    <w:t xml:space="preserve"> hat einen Beratungstermin vereinbart, um Hilfe bei der Erstellung der jeweiligen ESt-Erklärungen zu erhalten.</w:t>
                  </w:r>
                </w:p>
              </w:tc>
              <w:tc>
                <w:tcPr>
                  <w:tcW w:w="7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E6FAE64" w14:textId="77777777" w:rsidR="00FF32F3" w:rsidRPr="00FF53F1" w:rsidRDefault="00FF32F3" w:rsidP="004F493B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3D81FADC" w14:textId="2992B1BF" w:rsidR="00FF32F3" w:rsidRPr="00FF53F1" w:rsidRDefault="00C90558" w:rsidP="00006B57">
                  <w:pPr>
                    <w:pStyle w:val="Tabellenspiegelstrich"/>
                  </w:pPr>
                  <w:r>
                    <w:t xml:space="preserve">Beratungsnotiz </w:t>
                  </w:r>
                  <w:r w:rsidR="004F493B">
                    <w:t xml:space="preserve">für das Mandantengespräch </w:t>
                  </w:r>
                  <w:r>
                    <w:t xml:space="preserve">mit übersichtlicher Darstellung der Berechnung des Gesamtbetrags der Einkünfte </w:t>
                  </w:r>
                </w:p>
                <w:p w14:paraId="3E819D2B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0D774CE5" w14:textId="77777777" w:rsidR="00FF32F3" w:rsidRDefault="00FF32F3" w:rsidP="004F493B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34CDB19A" w14:textId="56C52BCF" w:rsidR="00FF32F3" w:rsidRDefault="00C90558" w:rsidP="00006B57">
                  <w:pPr>
                    <w:pStyle w:val="Tabellenspiegelstrich"/>
                    <w:rPr>
                      <w:b/>
                    </w:rPr>
                  </w:pPr>
                  <w:r>
                    <w:t>Bewertung der Beratungsnotiz und des Mandantengesprächs</w:t>
                  </w:r>
                </w:p>
                <w:p w14:paraId="52233491" w14:textId="7BDFF96A" w:rsidR="00FF32F3" w:rsidRPr="00FF53F1" w:rsidRDefault="00C90558" w:rsidP="00006B57">
                  <w:pPr>
                    <w:pStyle w:val="Tabellenspiegelstrich"/>
                    <w:rPr>
                      <w:sz w:val="32"/>
                      <w:szCs w:val="32"/>
                    </w:rPr>
                  </w:pPr>
                  <w:r>
                    <w:t>Klassenarbeit</w:t>
                  </w:r>
                </w:p>
              </w:tc>
            </w:tr>
            <w:tr w:rsidR="00FF32F3" w:rsidRPr="00FF53F1" w14:paraId="7259155C" w14:textId="77777777" w:rsidTr="001904DF">
              <w:trPr>
                <w:trHeight w:val="1814"/>
              </w:trPr>
              <w:tc>
                <w:tcPr>
                  <w:tcW w:w="729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E06C4C4" w14:textId="642DA50E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2F82AAF3" w14:textId="681F5883" w:rsidR="00CD4D69" w:rsidRDefault="00CD4D69" w:rsidP="00CD4D69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  <w:r w:rsidR="008B48CC">
                    <w:t xml:space="preserve"> </w:t>
                  </w:r>
                </w:p>
                <w:p w14:paraId="44B768B2" w14:textId="646DBC07" w:rsidR="00FF32F3" w:rsidRPr="00006B57" w:rsidRDefault="008B48CC" w:rsidP="00006B57">
                  <w:pPr>
                    <w:pStyle w:val="Tabellenspiegelstrich"/>
                  </w:pPr>
                  <w:r>
                    <w:t>machen</w:t>
                  </w:r>
                  <w:r w:rsidRPr="00006B57">
                    <w:t xml:space="preserve"> sich mit dem Mandantenauftrag vertraut</w:t>
                  </w:r>
                  <w:r w:rsidR="002033D6" w:rsidRPr="00006B57">
                    <w:t xml:space="preserve"> und präzisieren die</w:t>
                  </w:r>
                  <w:r w:rsidR="00CD4D69" w:rsidRPr="00006B57">
                    <w:t>sen in geeigneter Form (steuerliche</w:t>
                  </w:r>
                  <w:r w:rsidR="002033D6" w:rsidRPr="00006B57">
                    <w:t xml:space="preserve"> Problemstellungen)</w:t>
                  </w:r>
                </w:p>
                <w:p w14:paraId="4B38582B" w14:textId="218DE8ED" w:rsidR="00FF32F3" w:rsidRPr="00006B57" w:rsidRDefault="002033D6" w:rsidP="00006B57">
                  <w:pPr>
                    <w:pStyle w:val="Tabellenspiegelstrich"/>
                  </w:pPr>
                  <w:r w:rsidRPr="00006B57">
                    <w:t>grenzen steuerfreie und steuerpflichtige Einnahmen voneinander ab</w:t>
                  </w:r>
                  <w:r w:rsidR="00125FBF" w:rsidRPr="00006B57">
                    <w:t xml:space="preserve"> </w:t>
                  </w:r>
                  <w:r w:rsidRPr="00006B57">
                    <w:t>und ermitteln die Höhe der Einnahmen aus nichtselbstständiger Arbeit</w:t>
                  </w:r>
                </w:p>
                <w:p w14:paraId="60298921" w14:textId="75BCAF2C" w:rsidR="00245F69" w:rsidRPr="00006B57" w:rsidRDefault="002033D6" w:rsidP="00006B57">
                  <w:pPr>
                    <w:pStyle w:val="Tabellenspiegelstrich"/>
                  </w:pPr>
                  <w:r w:rsidRPr="00006B57">
                    <w:t>berechnen die Höhe der abzugsfähigen Werbungskosten</w:t>
                  </w:r>
                  <w:r w:rsidR="00245F69" w:rsidRPr="00006B57">
                    <w:t xml:space="preserve"> und</w:t>
                  </w:r>
                  <w:r w:rsidRPr="00006B57">
                    <w:t xml:space="preserve"> vergleichen diese mit den Pauschbeträgen</w:t>
                  </w:r>
                </w:p>
                <w:p w14:paraId="1B569DA9" w14:textId="29163CA2" w:rsidR="00FF32F3" w:rsidRPr="00006B57" w:rsidRDefault="002033D6" w:rsidP="00006B57">
                  <w:pPr>
                    <w:pStyle w:val="Tabellenspiegelstrich"/>
                  </w:pPr>
                  <w:r w:rsidRPr="00006B57">
                    <w:t>ermitteln die Höhe der Einkünfte aus nichtselbstständiger Arbei</w:t>
                  </w:r>
                  <w:r w:rsidR="00063108" w:rsidRPr="00006B57">
                    <w:t>t</w:t>
                  </w:r>
                  <w:r w:rsidR="00245F69" w:rsidRPr="00006B57">
                    <w:t xml:space="preserve">, die Summe der Einkünfte und </w:t>
                  </w:r>
                  <w:r w:rsidR="00256D4C" w:rsidRPr="00006B57">
                    <w:t xml:space="preserve">den Gesamtbetrag der Einkünfte </w:t>
                  </w:r>
                  <w:r w:rsidR="00245F69" w:rsidRPr="00006B57">
                    <w:t>unter Berücksichtigung des Altersentlastungsbetrags und des Entlastungsbetrags für Alleinerziehende</w:t>
                  </w:r>
                </w:p>
                <w:p w14:paraId="02F5C75F" w14:textId="5B054B89" w:rsidR="00245F69" w:rsidRPr="00006B57" w:rsidRDefault="00CD4D69" w:rsidP="00006B57">
                  <w:pPr>
                    <w:pStyle w:val="Tabellenspiegelstrich"/>
                  </w:pPr>
                  <w:r w:rsidRPr="00006B57">
                    <w:t>beraten die</w:t>
                  </w:r>
                  <w:r w:rsidR="00245F69" w:rsidRPr="00006B57">
                    <w:t xml:space="preserve"> </w:t>
                  </w:r>
                  <w:r w:rsidR="00125FBF" w:rsidRPr="00006B57">
                    <w:t xml:space="preserve">Mandantinnen und </w:t>
                  </w:r>
                  <w:r w:rsidR="00245F69" w:rsidRPr="00006B57">
                    <w:t>Mandanten zu Antrags- und Pflichtveranlagung und zu Abgabefristen</w:t>
                  </w:r>
                </w:p>
                <w:p w14:paraId="2ACF4F06" w14:textId="79AA6E8D" w:rsidR="00063108" w:rsidRDefault="00063108" w:rsidP="00006B57">
                  <w:pPr>
                    <w:pStyle w:val="Tabellenspiegelstrich"/>
                  </w:pPr>
                  <w:r w:rsidRPr="00006B57">
                    <w:t>arbeite</w:t>
                  </w:r>
                  <w:r>
                    <w:t>n in kooperativen Lerngruppen, z.</w:t>
                  </w:r>
                  <w:r w:rsidR="00F06274">
                    <w:t> </w:t>
                  </w:r>
                  <w:r>
                    <w:t>B. der leistungsheterogenen Partnerarbeit</w:t>
                  </w:r>
                </w:p>
                <w:p w14:paraId="4EEDF785" w14:textId="2CA2A86A" w:rsidR="00063108" w:rsidRPr="00CD4D69" w:rsidRDefault="00063108" w:rsidP="00006B57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rFonts w:eastAsia="Times New Roman"/>
                      <w:color w:val="007EC5"/>
                    </w:rPr>
                  </w:pPr>
                  <w:r w:rsidRPr="00CD4D69">
                    <w:rPr>
                      <w:rFonts w:eastAsia="Times New Roman"/>
                      <w:color w:val="007EC5"/>
                    </w:rPr>
                    <w:lastRenderedPageBreak/>
                    <w:t>beschaffen sich notwendige Informationen mit</w:t>
                  </w:r>
                  <w:r w:rsidR="00CD4D69" w:rsidRPr="00CD4D69">
                    <w:rPr>
                      <w:rFonts w:eastAsia="Times New Roman"/>
                      <w:color w:val="007EC5"/>
                    </w:rPr>
                    <w:t>hilfe</w:t>
                  </w:r>
                  <w:r w:rsidRPr="00CD4D69">
                    <w:rPr>
                      <w:rFonts w:eastAsia="Times New Roman"/>
                      <w:color w:val="007EC5"/>
                    </w:rPr>
                    <w:t xml:space="preserve"> branchenüblicher Software (z.</w:t>
                  </w:r>
                  <w:r w:rsidR="00256D4C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Pr="00CD4D69">
                    <w:rPr>
                      <w:rFonts w:eastAsia="Times New Roman"/>
                      <w:color w:val="007EC5"/>
                    </w:rPr>
                    <w:t>B. Fachdatenbanken) und Internetrecherche (z.</w:t>
                  </w:r>
                  <w:r w:rsidR="00F06274">
                    <w:rPr>
                      <w:rFonts w:eastAsia="Times New Roman"/>
                      <w:color w:val="007EC5"/>
                    </w:rPr>
                    <w:t> </w:t>
                  </w:r>
                  <w:r w:rsidRPr="00CD4D69">
                    <w:rPr>
                      <w:rFonts w:eastAsia="Times New Roman"/>
                      <w:color w:val="007EC5"/>
                    </w:rPr>
                    <w:t>B. Gesetzestexte, Richtlinien und Hinweise im EStH, BMF-Schreiben)</w:t>
                  </w:r>
                </w:p>
                <w:p w14:paraId="3DA331E7" w14:textId="66A3EB16" w:rsidR="00063108" w:rsidRPr="00CD4D69" w:rsidRDefault="00A82F0C" w:rsidP="00006B57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rFonts w:eastAsia="Times New Roman"/>
                      <w:color w:val="ED7D31"/>
                    </w:rPr>
                  </w:pPr>
                  <w:r w:rsidRPr="00CD4D69">
                    <w:rPr>
                      <w:rFonts w:eastAsia="Times New Roman"/>
                      <w:color w:val="ED7D31"/>
                    </w:rPr>
                    <w:t xml:space="preserve">überprüfen </w:t>
                  </w:r>
                  <w:r w:rsidR="00063108" w:rsidRPr="00CD4D69">
                    <w:rPr>
                      <w:rFonts w:eastAsia="Times New Roman"/>
                      <w:color w:val="ED7D31"/>
                    </w:rPr>
                    <w:t xml:space="preserve">die digital beschafften Informationen </w:t>
                  </w:r>
                  <w:r w:rsidRPr="00CD4D69">
                    <w:rPr>
                      <w:rFonts w:eastAsia="Times New Roman"/>
                      <w:color w:val="ED7D31"/>
                    </w:rPr>
                    <w:t xml:space="preserve">im Hinblick auf Validität und werten diese </w:t>
                  </w:r>
                  <w:r w:rsidR="00063108" w:rsidRPr="00CD4D69">
                    <w:rPr>
                      <w:rFonts w:eastAsia="Times New Roman"/>
                      <w:color w:val="ED7D31"/>
                    </w:rPr>
                    <w:t>fallbezogen aus</w:t>
                  </w:r>
                </w:p>
                <w:p w14:paraId="020640CE" w14:textId="1E72079E" w:rsidR="00063108" w:rsidRPr="00CD4D69" w:rsidRDefault="00063108" w:rsidP="00006B57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rFonts w:eastAsia="Times New Roman"/>
                      <w:color w:val="4CB848"/>
                    </w:rPr>
                  </w:pPr>
                  <w:r w:rsidRPr="00CD4D69">
                    <w:rPr>
                      <w:rFonts w:eastAsia="Times New Roman"/>
                      <w:color w:val="4CB848"/>
                    </w:rPr>
                    <w:t>beachten grundlegende Prinzipien des Datenschutzes und der Datensicherheit</w:t>
                  </w:r>
                </w:p>
                <w:p w14:paraId="4B9B4BDA" w14:textId="536FBF8B" w:rsidR="00063108" w:rsidRPr="00FF53F1" w:rsidRDefault="00063108" w:rsidP="00006B57">
                  <w:pPr>
                    <w:pStyle w:val="Tabellenspiegelstrich"/>
                    <w:numPr>
                      <w:ilvl w:val="0"/>
                      <w:numId w:val="32"/>
                    </w:numPr>
                  </w:pPr>
                  <w:r w:rsidRPr="00CD4D69">
                    <w:rPr>
                      <w:rFonts w:eastAsia="Times New Roman"/>
                      <w:color w:val="ED7D31"/>
                    </w:rPr>
                    <w:t>reflektieren und beurteilen ihre Handlungsprodukte und Lernergebnisse</w:t>
                  </w:r>
                  <w:r w:rsidR="00CD4D69" w:rsidRPr="00CD4D69">
                    <w:rPr>
                      <w:rFonts w:eastAsia="Times New Roman"/>
                      <w:color w:val="ED7D31"/>
                    </w:rPr>
                    <w:t>.</w:t>
                  </w:r>
                </w:p>
              </w:tc>
              <w:tc>
                <w:tcPr>
                  <w:tcW w:w="7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FB9C90F" w14:textId="77777777" w:rsidR="00FF32F3" w:rsidRPr="00FF53F1" w:rsidRDefault="00FF32F3" w:rsidP="008B3C8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6849AE15" w14:textId="338BBCE0" w:rsidR="00CB0045" w:rsidRDefault="00CB0045" w:rsidP="00006B57">
                  <w:pPr>
                    <w:pStyle w:val="Tabellenspiegelstrich"/>
                  </w:pPr>
                  <w:r w:rsidRPr="00B006B1">
                    <w:t>Einnahmen aus nichtselbständiger Arbeit</w:t>
                  </w:r>
                </w:p>
                <w:p w14:paraId="6E9AE3D5" w14:textId="145E3762" w:rsidR="00CB0045" w:rsidRPr="00006B57" w:rsidRDefault="000614AF" w:rsidP="00F06274">
                  <w:pPr>
                    <w:pStyle w:val="Tabellenspiegelstrich"/>
                    <w:numPr>
                      <w:ilvl w:val="1"/>
                      <w:numId w:val="33"/>
                    </w:numPr>
                    <w:ind w:left="680" w:hanging="340"/>
                  </w:pPr>
                  <w:r>
                    <w:t>a</w:t>
                  </w:r>
                  <w:r w:rsidR="00A1033D">
                    <w:t>us l</w:t>
                  </w:r>
                  <w:r w:rsidR="00A1033D" w:rsidRPr="00006B57">
                    <w:t>fd. Dienstverhältnis in Geld: Bruttolohn</w:t>
                  </w:r>
                </w:p>
                <w:p w14:paraId="08D3DD80" w14:textId="1B150DC2" w:rsidR="00A1033D" w:rsidRPr="00006B57" w:rsidRDefault="000614AF" w:rsidP="00F06274">
                  <w:pPr>
                    <w:pStyle w:val="Tabellenspiegelstrich"/>
                    <w:numPr>
                      <w:ilvl w:val="1"/>
                      <w:numId w:val="33"/>
                    </w:numPr>
                    <w:ind w:left="680" w:hanging="340"/>
                  </w:pPr>
                  <w:r w:rsidRPr="00006B57">
                    <w:t>a</w:t>
                  </w:r>
                  <w:r w:rsidR="00A1033D" w:rsidRPr="00006B57">
                    <w:t>us lfd. Dienstverhältnis in Geldeswert (Geldwerter Vorteil): Wohnungs-, Telekommunikationsgeräte-, Fahrzeugüberlassung, Mahlzeitengestellung, Bezug von Waren u. Dienstleistungen</w:t>
                  </w:r>
                </w:p>
                <w:p w14:paraId="4CFF9FF6" w14:textId="346BA7E4" w:rsidR="00A1033D" w:rsidRPr="00006B57" w:rsidRDefault="000614AF" w:rsidP="00F06274">
                  <w:pPr>
                    <w:pStyle w:val="Tabellenspiegelstrich"/>
                    <w:numPr>
                      <w:ilvl w:val="1"/>
                      <w:numId w:val="33"/>
                    </w:numPr>
                    <w:ind w:left="680" w:hanging="340"/>
                  </w:pPr>
                  <w:r w:rsidRPr="00006B57">
                    <w:t>s</w:t>
                  </w:r>
                  <w:r w:rsidR="00A1033D" w:rsidRPr="00006B57">
                    <w:t>teuerbefreite Einnahmen, z.</w:t>
                  </w:r>
                  <w:r w:rsidR="00256D4C" w:rsidRPr="00006B57">
                    <w:t xml:space="preserve"> </w:t>
                  </w:r>
                  <w:r w:rsidR="00A1033D" w:rsidRPr="00006B57">
                    <w:t>B. Jobticket</w:t>
                  </w:r>
                </w:p>
                <w:p w14:paraId="0C9CFD93" w14:textId="329D9C15" w:rsidR="00A1033D" w:rsidRDefault="000614AF" w:rsidP="00F06274">
                  <w:pPr>
                    <w:pStyle w:val="Tabellenspiegelstrich"/>
                    <w:numPr>
                      <w:ilvl w:val="1"/>
                      <w:numId w:val="33"/>
                    </w:numPr>
                    <w:ind w:left="680" w:hanging="340"/>
                  </w:pPr>
                  <w:r w:rsidRPr="00006B57">
                    <w:t>a</w:t>
                  </w:r>
                  <w:r w:rsidR="00A1033D" w:rsidRPr="00006B57">
                    <w:t>us früherem Dienstverhältnis in Geld: Versorgungsbezüge inkl. Versorgun</w:t>
                  </w:r>
                  <w:r w:rsidR="00A1033D">
                    <w:t>gsfreibetrag</w:t>
                  </w:r>
                </w:p>
                <w:p w14:paraId="6DA83E88" w14:textId="33602423" w:rsidR="00CB0045" w:rsidRDefault="00CB0045" w:rsidP="00006B57">
                  <w:pPr>
                    <w:pStyle w:val="Tabellenspiegelstrich"/>
                  </w:pPr>
                  <w:r w:rsidRPr="00B006B1">
                    <w:t>Werbungskosten aus nichtselbständiger Arbeit</w:t>
                  </w:r>
                </w:p>
                <w:p w14:paraId="4A72567F" w14:textId="77777777" w:rsidR="00A1033D" w:rsidRPr="00006B57" w:rsidRDefault="00A1033D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B006B1">
                    <w:t>W</w:t>
                  </w:r>
                  <w:r w:rsidRPr="00006B57">
                    <w:t>K-Pauschale</w:t>
                  </w:r>
                </w:p>
                <w:p w14:paraId="1F6D1078" w14:textId="41F49D2E" w:rsidR="00A1033D" w:rsidRPr="00006B57" w:rsidRDefault="00A1033D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006B57">
                    <w:t>Fahrten Wohnung – 1. Tätigkeitsstätte</w:t>
                  </w:r>
                </w:p>
                <w:p w14:paraId="603EC440" w14:textId="296D5F81" w:rsidR="00A1033D" w:rsidRPr="00006B57" w:rsidRDefault="00A1033D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006B57">
                    <w:t>Arbeitszimmer/Homeoffice-Pauschale</w:t>
                  </w:r>
                </w:p>
                <w:p w14:paraId="361D8643" w14:textId="77777777" w:rsidR="00A1033D" w:rsidRPr="00006B57" w:rsidRDefault="00A1033D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006B57">
                    <w:t>Arbeitsmittel</w:t>
                  </w:r>
                </w:p>
                <w:p w14:paraId="0A57194D" w14:textId="47A4B104" w:rsidR="00A1033D" w:rsidRPr="00006B57" w:rsidRDefault="008B3C82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006B57">
                    <w:t>Doppelte</w:t>
                  </w:r>
                  <w:r w:rsidR="00A1033D" w:rsidRPr="00006B57">
                    <w:t xml:space="preserve"> Haushaltsführung</w:t>
                  </w:r>
                </w:p>
                <w:p w14:paraId="723E2124" w14:textId="71397BF4" w:rsidR="00A1033D" w:rsidRPr="00006B57" w:rsidRDefault="00A1033D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006B57">
                    <w:t>Reisekosten</w:t>
                  </w:r>
                </w:p>
                <w:p w14:paraId="455521F2" w14:textId="597884F0" w:rsidR="00A1033D" w:rsidRDefault="00FE48F1" w:rsidP="00F06274">
                  <w:pPr>
                    <w:pStyle w:val="Tabellenspiegelstrich"/>
                    <w:numPr>
                      <w:ilvl w:val="0"/>
                      <w:numId w:val="34"/>
                    </w:numPr>
                    <w:ind w:left="680"/>
                  </w:pPr>
                  <w:r w:rsidRPr="00006B57">
                    <w:t>s</w:t>
                  </w:r>
                  <w:r w:rsidR="00A1033D" w:rsidRPr="00006B57">
                    <w:t>ons</w:t>
                  </w:r>
                  <w:r w:rsidR="00A1033D">
                    <w:t>tige, z.</w:t>
                  </w:r>
                  <w:r w:rsidR="00256D4C">
                    <w:t xml:space="preserve"> </w:t>
                  </w:r>
                  <w:r w:rsidR="00A1033D">
                    <w:t>B. Fortbildungskosten, Berufsausbildung, Kontoführung</w:t>
                  </w:r>
                </w:p>
                <w:p w14:paraId="6A73DE9D" w14:textId="0626B352" w:rsidR="00CB0045" w:rsidRPr="00006B57" w:rsidRDefault="00CB0045" w:rsidP="00006B57">
                  <w:pPr>
                    <w:pStyle w:val="Tabellenspiegelstrich"/>
                  </w:pPr>
                  <w:r w:rsidRPr="00B006B1">
                    <w:lastRenderedPageBreak/>
                    <w:t>Einkünfte a</w:t>
                  </w:r>
                  <w:r w:rsidRPr="00006B57">
                    <w:t>us nichtselbständiger Arbeit</w:t>
                  </w:r>
                </w:p>
                <w:p w14:paraId="64C5A8F0" w14:textId="23E92A4A" w:rsidR="00A1033D" w:rsidRPr="00006B57" w:rsidRDefault="00A1033D" w:rsidP="00006B57">
                  <w:pPr>
                    <w:pStyle w:val="Tabellenspiegelstrich"/>
                  </w:pPr>
                  <w:r w:rsidRPr="00006B57">
                    <w:t>Summe der Einkünfte</w:t>
                  </w:r>
                </w:p>
                <w:p w14:paraId="7A302CEF" w14:textId="496B89B0" w:rsidR="00CB0045" w:rsidRPr="00006B57" w:rsidRDefault="008B48CC" w:rsidP="00006B57">
                  <w:pPr>
                    <w:pStyle w:val="Tabellenspiegelstrich"/>
                  </w:pPr>
                  <w:r w:rsidRPr="00006B57">
                    <w:t>Altersentlastungsbetrag</w:t>
                  </w:r>
                </w:p>
                <w:p w14:paraId="04063ECF" w14:textId="5AEE105F" w:rsidR="00CB0045" w:rsidRPr="00006B57" w:rsidRDefault="008B48CC" w:rsidP="00006B57">
                  <w:pPr>
                    <w:pStyle w:val="Tabellenspiegelstrich"/>
                  </w:pPr>
                  <w:r w:rsidRPr="00006B57">
                    <w:t>Entlastungsbetrag Alleinerziehende</w:t>
                  </w:r>
                </w:p>
                <w:p w14:paraId="4573A6E6" w14:textId="77777777" w:rsidR="00FF32F3" w:rsidRPr="00006B57" w:rsidRDefault="008B48CC" w:rsidP="00006B57">
                  <w:pPr>
                    <w:pStyle w:val="Tabellenspiegelstrich"/>
                  </w:pPr>
                  <w:r w:rsidRPr="00006B57">
                    <w:t>Gesamtbetrag der Einkünfte</w:t>
                  </w:r>
                </w:p>
                <w:p w14:paraId="308ED39E" w14:textId="497F27D0" w:rsidR="00245F69" w:rsidRPr="00FF53F1" w:rsidRDefault="00245F69" w:rsidP="00006B57">
                  <w:pPr>
                    <w:pStyle w:val="Tabellenspiegelstrich"/>
                  </w:pPr>
                  <w:r w:rsidRPr="00006B57">
                    <w:t>Gründe un</w:t>
                  </w:r>
                  <w:r>
                    <w:t xml:space="preserve">d Abgabefristen für </w:t>
                  </w:r>
                  <w:r w:rsidR="008B48CC">
                    <w:t>Antrags- und Pflichtveranlagung</w:t>
                  </w:r>
                  <w:r>
                    <w:t xml:space="preserve">en </w:t>
                  </w:r>
                </w:p>
              </w:tc>
            </w:tr>
            <w:tr w:rsidR="00FF32F3" w:rsidRPr="00FF53F1" w14:paraId="3ED31EC6" w14:textId="77777777" w:rsidTr="001904DF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</w:tcPr>
                <w:p w14:paraId="5E9556C4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6F5F8736" w14:textId="25EF7970" w:rsidR="00FF32F3" w:rsidRPr="00FF53F1" w:rsidRDefault="00C90558" w:rsidP="00F06274">
                  <w:pPr>
                    <w:pStyle w:val="Tabellentext"/>
                    <w:spacing w:before="0"/>
                  </w:pPr>
                  <w:r>
                    <w:t>Simulation eines Mandantengesprächs, Nutzung von Gesetzestexten</w:t>
                  </w:r>
                  <w:r w:rsidR="00E10302">
                    <w:t xml:space="preserve"> und</w:t>
                  </w:r>
                  <w:r>
                    <w:t xml:space="preserve"> branchenüblicher Software</w:t>
                  </w:r>
                  <w:r w:rsidR="00E10302">
                    <w:t>, leistungsheterogene Partnerarbeit</w:t>
                  </w:r>
                  <w:r w:rsidR="00660254">
                    <w:t xml:space="preserve"> </w:t>
                  </w:r>
                </w:p>
              </w:tc>
            </w:tr>
            <w:tr w:rsidR="00FF32F3" w:rsidRPr="00FF53F1" w14:paraId="6E551C6B" w14:textId="77777777" w:rsidTr="001904DF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</w:tcPr>
                <w:p w14:paraId="44506B0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4AC478A5" w14:textId="12DE24A8" w:rsidR="00FF32F3" w:rsidRPr="00FF53F1" w:rsidRDefault="00C90558" w:rsidP="00F06274">
                  <w:pPr>
                    <w:pStyle w:val="Tabellentext"/>
                    <w:spacing w:before="0"/>
                  </w:pPr>
                  <w:r>
                    <w:t>Gesetzestexte, branchenübliche Software, binnendifferenziertes Lernmaterial, Fachbuch</w:t>
                  </w:r>
                  <w:r w:rsidR="00660254">
                    <w:t xml:space="preserve"> </w:t>
                  </w:r>
                </w:p>
              </w:tc>
            </w:tr>
            <w:tr w:rsidR="00FF32F3" w:rsidRPr="00FF53F1" w14:paraId="21B5198C" w14:textId="77777777" w:rsidTr="001904DF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top w:val="single" w:sz="6" w:space="0" w:color="auto"/>
                    <w:left w:val="nil"/>
                  </w:tcBorders>
                </w:tcPr>
                <w:p w14:paraId="523023D7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</w:t>
                  </w:r>
                  <w:bookmarkStart w:id="0" w:name="_GoBack"/>
                  <w:bookmarkEnd w:id="0"/>
                  <w:r w:rsidRPr="00FF53F1">
                    <w:t>he Hinweise</w:t>
                  </w:r>
                </w:p>
                <w:p w14:paraId="34F4783A" w14:textId="57FF0C54" w:rsidR="00FF32F3" w:rsidRPr="00FF53F1" w:rsidRDefault="00C90558" w:rsidP="00FF32F3">
                  <w:pPr>
                    <w:pStyle w:val="Tabellentext"/>
                    <w:spacing w:before="0"/>
                  </w:pPr>
                  <w:r w:rsidRPr="00361783">
                    <w:t>Digitale Endgeräte, EDV-Raum, WLAN, branchenübliche Software (z.</w:t>
                  </w:r>
                  <w:r w:rsidR="00256D4C">
                    <w:t xml:space="preserve"> </w:t>
                  </w:r>
                  <w:r w:rsidRPr="00361783">
                    <w:t>B. D</w:t>
                  </w:r>
                  <w:r w:rsidR="00361783">
                    <w:t>ATEV</w:t>
                  </w:r>
                  <w:r w:rsidRPr="00361783">
                    <w:t>), Präsentationssoftware</w:t>
                  </w:r>
                  <w:r w:rsidR="00660254">
                    <w:t xml:space="preserve"> </w:t>
                  </w:r>
                </w:p>
              </w:tc>
            </w:tr>
          </w:tbl>
          <w:p w14:paraId="3BA1C67C" w14:textId="77777777" w:rsidR="00FF32F3" w:rsidRDefault="00FF32F3" w:rsidP="00FF32F3"/>
        </w:tc>
      </w:tr>
    </w:tbl>
    <w:p w14:paraId="17C4C8CF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9E847" w14:textId="77777777" w:rsidR="009C081C" w:rsidRDefault="009C081C">
      <w:r>
        <w:separator/>
      </w:r>
    </w:p>
    <w:p w14:paraId="5060A842" w14:textId="77777777" w:rsidR="009C081C" w:rsidRDefault="009C081C"/>
    <w:p w14:paraId="2723DC39" w14:textId="77777777" w:rsidR="009C081C" w:rsidRDefault="009C081C"/>
  </w:endnote>
  <w:endnote w:type="continuationSeparator" w:id="0">
    <w:p w14:paraId="7222D847" w14:textId="77777777" w:rsidR="009C081C" w:rsidRDefault="009C081C">
      <w:r>
        <w:continuationSeparator/>
      </w:r>
    </w:p>
    <w:p w14:paraId="3DD00D4F" w14:textId="77777777" w:rsidR="009C081C" w:rsidRDefault="009C081C"/>
    <w:p w14:paraId="719B70BB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C7570" w14:textId="1C95F219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06274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r w:rsidR="00F06274">
      <w:fldChar w:fldCharType="begin"/>
    </w:r>
    <w:r w:rsidR="00F06274">
      <w:instrText xml:space="preserve"> NUMPAGES  \* Arabic  \* MERGEFORMAT </w:instrText>
    </w:r>
    <w:r w:rsidR="00F06274">
      <w:fldChar w:fldCharType="separate"/>
    </w:r>
    <w:r w:rsidR="00F06274">
      <w:rPr>
        <w:noProof/>
      </w:rPr>
      <w:t>4</w:t>
    </w:r>
    <w:r w:rsidR="00F062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FB769" w14:textId="77777777" w:rsidR="009C081C" w:rsidRDefault="009C081C">
      <w:r>
        <w:separator/>
      </w:r>
    </w:p>
  </w:footnote>
  <w:footnote w:type="continuationSeparator" w:id="0">
    <w:p w14:paraId="226D6201" w14:textId="77777777" w:rsidR="009C081C" w:rsidRDefault="009C081C">
      <w:r>
        <w:continuationSeparator/>
      </w:r>
    </w:p>
    <w:p w14:paraId="5955861F" w14:textId="77777777" w:rsidR="009C081C" w:rsidRDefault="009C081C"/>
    <w:p w14:paraId="41073139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01E2" w14:textId="10F2A0C6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B7238E"/>
    <w:multiLevelType w:val="hybridMultilevel"/>
    <w:tmpl w:val="9EF46F72"/>
    <w:lvl w:ilvl="0" w:tplc="6DB06B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581583D"/>
    <w:multiLevelType w:val="hybridMultilevel"/>
    <w:tmpl w:val="BF9E9C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8123D4"/>
    <w:multiLevelType w:val="hybridMultilevel"/>
    <w:tmpl w:val="6E366C88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676716"/>
    <w:multiLevelType w:val="hybridMultilevel"/>
    <w:tmpl w:val="1D68607C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143B8E"/>
    <w:multiLevelType w:val="hybridMultilevel"/>
    <w:tmpl w:val="D6EEEF1C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51E607D"/>
    <w:multiLevelType w:val="hybridMultilevel"/>
    <w:tmpl w:val="E54AD73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E6810"/>
    <w:multiLevelType w:val="hybridMultilevel"/>
    <w:tmpl w:val="07F4737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555349"/>
    <w:multiLevelType w:val="hybridMultilevel"/>
    <w:tmpl w:val="B302EE90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47270A"/>
    <w:multiLevelType w:val="hybridMultilevel"/>
    <w:tmpl w:val="E9D8829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A13229"/>
    <w:multiLevelType w:val="hybridMultilevel"/>
    <w:tmpl w:val="1EC278A0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771AA51A">
      <w:start w:val="1"/>
      <w:numFmt w:val="bullet"/>
      <w:lvlText w:val="˗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6"/>
  </w:num>
  <w:num w:numId="13">
    <w:abstractNumId w:val="20"/>
  </w:num>
  <w:num w:numId="14">
    <w:abstractNumId w:val="27"/>
  </w:num>
  <w:num w:numId="15">
    <w:abstractNumId w:val="23"/>
  </w:num>
  <w:num w:numId="16">
    <w:abstractNumId w:val="31"/>
  </w:num>
  <w:num w:numId="17">
    <w:abstractNumId w:val="13"/>
  </w:num>
  <w:num w:numId="18">
    <w:abstractNumId w:val="16"/>
  </w:num>
  <w:num w:numId="19">
    <w:abstractNumId w:val="33"/>
  </w:num>
  <w:num w:numId="20">
    <w:abstractNumId w:val="17"/>
  </w:num>
  <w:num w:numId="21">
    <w:abstractNumId w:val="15"/>
  </w:num>
  <w:num w:numId="22">
    <w:abstractNumId w:val="29"/>
  </w:num>
  <w:num w:numId="23">
    <w:abstractNumId w:val="11"/>
  </w:num>
  <w:num w:numId="24">
    <w:abstractNumId w:val="14"/>
  </w:num>
  <w:num w:numId="25">
    <w:abstractNumId w:val="10"/>
  </w:num>
  <w:num w:numId="26">
    <w:abstractNumId w:val="12"/>
  </w:num>
  <w:num w:numId="27">
    <w:abstractNumId w:val="24"/>
  </w:num>
  <w:num w:numId="28">
    <w:abstractNumId w:val="25"/>
  </w:num>
  <w:num w:numId="29">
    <w:abstractNumId w:val="22"/>
  </w:num>
  <w:num w:numId="30">
    <w:abstractNumId w:val="30"/>
  </w:num>
  <w:num w:numId="31">
    <w:abstractNumId w:val="32"/>
  </w:num>
  <w:num w:numId="32">
    <w:abstractNumId w:val="19"/>
  </w:num>
  <w:num w:numId="33">
    <w:abstractNumId w:val="28"/>
  </w:num>
  <w:num w:numId="3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6B57"/>
    <w:rsid w:val="00007AF8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4AF"/>
    <w:rsid w:val="000617AD"/>
    <w:rsid w:val="00063108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6A57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5FBF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4DF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33D6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F69"/>
    <w:rsid w:val="002518BA"/>
    <w:rsid w:val="00252553"/>
    <w:rsid w:val="002525FE"/>
    <w:rsid w:val="0025362C"/>
    <w:rsid w:val="00256D4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178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93B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681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254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46518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3C82"/>
    <w:rsid w:val="008B4746"/>
    <w:rsid w:val="008B48AC"/>
    <w:rsid w:val="008B48C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D7325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33D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365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F0C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BC5"/>
    <w:rsid w:val="00AB7FAD"/>
    <w:rsid w:val="00AC237A"/>
    <w:rsid w:val="00AC6B52"/>
    <w:rsid w:val="00AD11A6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572D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0558"/>
    <w:rsid w:val="00C918D0"/>
    <w:rsid w:val="00C92FC1"/>
    <w:rsid w:val="00C932C7"/>
    <w:rsid w:val="00C9648B"/>
    <w:rsid w:val="00CA1D31"/>
    <w:rsid w:val="00CA29A0"/>
    <w:rsid w:val="00CA59C9"/>
    <w:rsid w:val="00CA5AF4"/>
    <w:rsid w:val="00CB0045"/>
    <w:rsid w:val="00CC1F61"/>
    <w:rsid w:val="00CC2011"/>
    <w:rsid w:val="00CC5964"/>
    <w:rsid w:val="00CD1F11"/>
    <w:rsid w:val="00CD4D2B"/>
    <w:rsid w:val="00CD4D69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3C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0302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238D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274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8F1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48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8097D22FC354B9CB8E9AB229B2BDB" ma:contentTypeVersion="13" ma:contentTypeDescription="Ein neues Dokument erstellen." ma:contentTypeScope="" ma:versionID="0ab829710fd274f6d1261038b059cb3e">
  <xsd:schema xmlns:xsd="http://www.w3.org/2001/XMLSchema" xmlns:xs="http://www.w3.org/2001/XMLSchema" xmlns:p="http://schemas.microsoft.com/office/2006/metadata/properties" xmlns:ns3="edf5c2d1-6104-4e5d-987d-519a574fc28c" xmlns:ns4="d478517d-c2f5-453a-92fb-8d8402e13999" targetNamespace="http://schemas.microsoft.com/office/2006/metadata/properties" ma:root="true" ma:fieldsID="69030cd0ca0a4ec8e430dcfe75750f8b" ns3:_="" ns4:_="">
    <xsd:import namespace="edf5c2d1-6104-4e5d-987d-519a574fc28c"/>
    <xsd:import namespace="d478517d-c2f5-453a-92fb-8d8402e139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5c2d1-6104-4e5d-987d-519a574fc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8517d-c2f5-453a-92fb-8d8402e13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3DBA6-075A-441F-8735-4289F0A0E61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edf5c2d1-6104-4e5d-987d-519a574fc28c"/>
    <ds:schemaRef ds:uri="http://schemas.microsoft.com/office/2006/metadata/properties"/>
    <ds:schemaRef ds:uri="http://schemas.openxmlformats.org/package/2006/metadata/core-properties"/>
    <ds:schemaRef ds:uri="d478517d-c2f5-453a-92fb-8d8402e1399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11F708-0462-4CC8-A92A-88B4EF8CE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5c2d1-6104-4e5d-987d-519a574fc28c"/>
    <ds:schemaRef ds:uri="d478517d-c2f5-453a-92fb-8d8402e13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3C996-C9C9-42A9-BA68-B5CE6C1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2022-11-04T09:46:00Z</dcterms:created>
  <dcterms:modified xsi:type="dcterms:W3CDTF">2022-11-04T09:54:00Z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0x010100B968097D22FC354B9CB8E9AB229B2BDB</vt:lpwstr>
  </property>
</Properties>
</file>