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E338" w14:textId="2570F90A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 w:rsidR="00C33CDB">
        <w:rPr>
          <w:b/>
          <w:bCs/>
          <w:sz w:val="28"/>
          <w:szCs w:val="28"/>
        </w:rPr>
        <w:t xml:space="preserve"> </w:t>
      </w:r>
      <w:r w:rsidR="00C10E69">
        <w:rPr>
          <w:b/>
          <w:bCs/>
          <w:sz w:val="28"/>
          <w:szCs w:val="28"/>
        </w:rPr>
        <w:t xml:space="preserve">12 </w:t>
      </w:r>
      <w:r w:rsidR="00013BFD" w:rsidRPr="00674DBB">
        <w:rPr>
          <w:b/>
          <w:bCs/>
          <w:sz w:val="28"/>
          <w:szCs w:val="28"/>
        </w:rPr>
        <w:t xml:space="preserve">Geschäftsprozesse steuern und Bestandskundschaft im Lebenszyklus binden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2"/>
        <w:gridCol w:w="6322"/>
        <w:gridCol w:w="2407"/>
        <w:gridCol w:w="5151"/>
      </w:tblGrid>
      <w:tr w:rsidR="005F408F" w:rsidRPr="00CA1D31" w14:paraId="2E14618C" w14:textId="77777777" w:rsidTr="00674DBB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E6CA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883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3544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4A94DA4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7385D24" w14:textId="77777777" w:rsidTr="00674DB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10F3" w14:textId="7A0EBBE3" w:rsidR="005F408F" w:rsidRPr="00850CC4" w:rsidRDefault="00013BFD" w:rsidP="00462E89">
            <w:pPr>
              <w:spacing w:before="60" w:after="0"/>
              <w:jc w:val="left"/>
            </w:pPr>
            <w:r>
              <w:t>12.</w:t>
            </w:r>
            <w:r w:rsidR="00462E89"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2FF" w14:textId="4ABE0EEE" w:rsidR="005F408F" w:rsidRPr="00850CC4" w:rsidRDefault="00306C19" w:rsidP="00781367">
            <w:pPr>
              <w:spacing w:before="60" w:after="0"/>
              <w:jc w:val="left"/>
            </w:pPr>
            <w:r>
              <w:t>Beurteilung der</w:t>
            </w:r>
            <w:r w:rsidR="00D6785C">
              <w:t xml:space="preserve"> </w:t>
            </w:r>
            <w:r w:rsidR="005E1635">
              <w:t>wirtschaftlichen Situation</w:t>
            </w:r>
            <w:r w:rsidR="00D6785C">
              <w:t xml:space="preserve"> der</w:t>
            </w:r>
            <w:r>
              <w:t xml:space="preserve"> Agentur anhand von Bilanzkennzahlen</w:t>
            </w:r>
            <w:r w:rsidR="005E1635">
              <w:t xml:space="preserve"> und Erfolgsgrößen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683" w14:textId="7607FD3B" w:rsidR="005F408F" w:rsidRPr="00850CC4" w:rsidRDefault="00D6785C" w:rsidP="00781367">
            <w:pPr>
              <w:spacing w:before="60" w:after="0"/>
              <w:jc w:val="left"/>
            </w:pPr>
            <w:r>
              <w:t>16</w:t>
            </w:r>
            <w:r w:rsidR="00013BFD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03A4A11" w14:textId="6E0B3A54" w:rsidR="005F408F" w:rsidRPr="00850CC4" w:rsidRDefault="00306C19" w:rsidP="00781367">
            <w:pPr>
              <w:spacing w:before="60" w:after="0"/>
              <w:jc w:val="left"/>
            </w:pPr>
            <w:r>
              <w:t>Bezug LF 9</w:t>
            </w:r>
          </w:p>
        </w:tc>
      </w:tr>
      <w:tr w:rsidR="00C55D60" w:rsidRPr="00850CC4" w14:paraId="66FDAE5D" w14:textId="77777777" w:rsidTr="00674DB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EA7" w14:textId="224AE9B4" w:rsidR="00C55D60" w:rsidRPr="00850CC4" w:rsidRDefault="00013BFD" w:rsidP="00C55D60">
            <w:pPr>
              <w:spacing w:before="60" w:after="0"/>
              <w:jc w:val="left"/>
            </w:pPr>
            <w:r>
              <w:t>12.</w:t>
            </w:r>
            <w:r w:rsidR="00C55D60">
              <w:t>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B12F" w14:textId="7E040002" w:rsidR="00C55D60" w:rsidRPr="00850CC4" w:rsidRDefault="00C55D60" w:rsidP="00C55D60">
            <w:pPr>
              <w:spacing w:before="60" w:after="0"/>
              <w:jc w:val="left"/>
            </w:pPr>
            <w:r>
              <w:t>Kennzahlen im</w:t>
            </w:r>
            <w:r w:rsidRPr="00FF53F1">
              <w:t xml:space="preserve"> </w:t>
            </w:r>
            <w:r>
              <w:t>Bestandskundengeschäft analysieren und Maßnahmen zur Kundenbindung entwickeln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CEE" w14:textId="7B6D3AE8" w:rsidR="00C55D60" w:rsidRPr="00850CC4" w:rsidRDefault="00C55D60" w:rsidP="00C55D60">
            <w:pPr>
              <w:spacing w:before="60" w:after="0"/>
              <w:jc w:val="left"/>
            </w:pPr>
            <w:r>
              <w:t>30</w:t>
            </w:r>
            <w:r w:rsidR="00013BFD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F0D3E4" w14:textId="2C55731F" w:rsidR="00C55D60" w:rsidRPr="00306C19" w:rsidRDefault="00C55D60" w:rsidP="00C55D60">
            <w:pPr>
              <w:spacing w:before="60" w:after="0"/>
              <w:jc w:val="left"/>
            </w:pPr>
            <w:r w:rsidRPr="00306C19">
              <w:t>Bezug LF</w:t>
            </w:r>
            <w:r w:rsidR="006153F9">
              <w:t>2 +</w:t>
            </w:r>
            <w:r w:rsidRPr="00306C19">
              <w:t xml:space="preserve"> 3, LF 9</w:t>
            </w:r>
          </w:p>
        </w:tc>
      </w:tr>
      <w:tr w:rsidR="00C55D60" w:rsidRPr="00850CC4" w14:paraId="47E0DF05" w14:textId="77777777" w:rsidTr="00674DB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0C24" w14:textId="2EF46A25" w:rsidR="00C55D60" w:rsidRPr="00850CC4" w:rsidRDefault="00013BFD" w:rsidP="00C55D60">
            <w:pPr>
              <w:spacing w:before="60" w:after="0"/>
              <w:jc w:val="left"/>
            </w:pPr>
            <w:r>
              <w:t>12.</w:t>
            </w:r>
            <w:r w:rsidR="00C55D60">
              <w:t>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933" w14:textId="3A168689" w:rsidR="00C55D60" w:rsidRPr="00850CC4" w:rsidRDefault="00CD3F4A" w:rsidP="00C55D60">
            <w:pPr>
              <w:spacing w:before="60" w:after="0"/>
              <w:jc w:val="left"/>
            </w:pPr>
            <w:r>
              <w:t>Analyse der wirtschaftlichen Lage der Agentur im Rahmen der internen Kosten – und Leistungsrechnung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53C" w14:textId="454C2257" w:rsidR="00C55D60" w:rsidRPr="00850CC4" w:rsidRDefault="005E1635" w:rsidP="00C55D60">
            <w:pPr>
              <w:spacing w:before="60" w:after="0"/>
              <w:jc w:val="left"/>
            </w:pPr>
            <w:r>
              <w:t>20</w:t>
            </w:r>
            <w:r w:rsidR="00013BFD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FD8B97" w14:textId="1631E981" w:rsidR="00C55D60" w:rsidRPr="00850CC4" w:rsidRDefault="005E1635" w:rsidP="00C55D60">
            <w:pPr>
              <w:spacing w:before="60" w:after="0"/>
              <w:jc w:val="left"/>
            </w:pPr>
            <w:r>
              <w:t>Bezug zu LF 9</w:t>
            </w:r>
          </w:p>
        </w:tc>
      </w:tr>
      <w:tr w:rsidR="00C55D60" w:rsidRPr="00850CC4" w14:paraId="5AC8CC19" w14:textId="77777777" w:rsidTr="00674DB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161" w14:textId="7198D96A" w:rsidR="00C55D60" w:rsidRPr="00850CC4" w:rsidRDefault="00013BFD" w:rsidP="00C55D60">
            <w:pPr>
              <w:spacing w:before="60" w:after="0"/>
              <w:jc w:val="left"/>
            </w:pPr>
            <w:r>
              <w:t>12.</w:t>
            </w:r>
            <w:r w:rsidR="00C55D60">
              <w:t>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28E" w14:textId="0F429E3B" w:rsidR="00C55D60" w:rsidRPr="00850CC4" w:rsidRDefault="00C55D60" w:rsidP="00C55D60">
            <w:pPr>
              <w:spacing w:before="60" w:after="0"/>
              <w:jc w:val="left"/>
            </w:pPr>
            <w:r>
              <w:t>Einfache Deckungsbeiträge auf verschiedene Zielgrößen anwenden und für unternehmerische Entscheidungen heranziehen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3E5" w14:textId="0F28B95E" w:rsidR="00C55D60" w:rsidRPr="00850CC4" w:rsidRDefault="00C55D60" w:rsidP="00C55D60">
            <w:pPr>
              <w:spacing w:before="60" w:after="0"/>
              <w:jc w:val="left"/>
            </w:pPr>
            <w:r>
              <w:t>14</w:t>
            </w:r>
            <w:r w:rsidR="00013BFD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B0B47A8" w14:textId="0FD9BEC2" w:rsidR="00C55D60" w:rsidRPr="00850CC4" w:rsidRDefault="00C55D60" w:rsidP="00C55D60">
            <w:pPr>
              <w:spacing w:before="60" w:after="0"/>
              <w:jc w:val="left"/>
            </w:pPr>
            <w:r>
              <w:t>Bezug zu LF 2</w:t>
            </w:r>
            <w:r w:rsidR="00C10E69">
              <w:t xml:space="preserve"> + </w:t>
            </w:r>
            <w:r>
              <w:t>3</w:t>
            </w:r>
          </w:p>
        </w:tc>
      </w:tr>
      <w:tr w:rsidR="00C55D60" w:rsidRPr="00850CC4" w14:paraId="6135E4CE" w14:textId="77777777" w:rsidTr="00674DB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3A4" w14:textId="77777777" w:rsidR="00C55D60" w:rsidRPr="00850CC4" w:rsidRDefault="00C55D60" w:rsidP="00C55D60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E62" w14:textId="77777777" w:rsidR="00C55D60" w:rsidRPr="00850CC4" w:rsidRDefault="00C55D60" w:rsidP="00C55D60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6D57" w14:textId="77777777" w:rsidR="00C55D60" w:rsidRPr="00850CC4" w:rsidRDefault="00C55D60" w:rsidP="00C55D60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FB79759" w14:textId="77777777" w:rsidR="00C55D60" w:rsidRPr="00850CC4" w:rsidRDefault="00C55D60" w:rsidP="00C55D60">
            <w:pPr>
              <w:spacing w:before="60" w:after="0"/>
              <w:jc w:val="left"/>
            </w:pPr>
          </w:p>
        </w:tc>
      </w:tr>
      <w:tr w:rsidR="00C55D60" w:rsidRPr="00850CC4" w14:paraId="72413687" w14:textId="77777777" w:rsidTr="00674DB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ADE" w14:textId="77777777" w:rsidR="00C55D60" w:rsidRPr="00850CC4" w:rsidRDefault="00C55D60" w:rsidP="00C55D60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0667" w14:textId="77777777" w:rsidR="00C55D60" w:rsidRPr="00850CC4" w:rsidRDefault="00C55D60" w:rsidP="00C55D60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BB8" w14:textId="77777777" w:rsidR="00C55D60" w:rsidRPr="00850CC4" w:rsidRDefault="00C55D60" w:rsidP="00C55D60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5C64491" w14:textId="77777777" w:rsidR="00C55D60" w:rsidRPr="00850CC4" w:rsidRDefault="00C55D60" w:rsidP="00C55D60">
            <w:pPr>
              <w:spacing w:before="60" w:after="0"/>
              <w:jc w:val="left"/>
            </w:pPr>
          </w:p>
        </w:tc>
      </w:tr>
    </w:tbl>
    <w:p w14:paraId="4AD5E0AA" w14:textId="77777777" w:rsidR="005F408F" w:rsidRPr="00850CC4" w:rsidRDefault="005F408F" w:rsidP="00781367">
      <w:pPr>
        <w:spacing w:before="0" w:after="0"/>
        <w:jc w:val="left"/>
      </w:pPr>
    </w:p>
    <w:p w14:paraId="0A18AAE9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7DE6DA2E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650CAE64" w14:textId="77777777" w:rsidTr="006D3A19">
              <w:tc>
                <w:tcPr>
                  <w:tcW w:w="14572" w:type="dxa"/>
                  <w:gridSpan w:val="2"/>
                </w:tcPr>
                <w:p w14:paraId="6F615541" w14:textId="45E8F52C" w:rsidR="00FF32F3" w:rsidRPr="00FF53F1" w:rsidRDefault="00674DBB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3</w:t>
                  </w:r>
                  <w:r w:rsidR="00FF32F3" w:rsidRPr="00FF53F1">
                    <w:rPr>
                      <w:b/>
                    </w:rPr>
                    <w:t>. Ausbildungsjahr</w:t>
                  </w:r>
                  <w:r>
                    <w:rPr>
                      <w:b/>
                    </w:rPr>
                    <w:t xml:space="preserve"> </w:t>
                  </w:r>
                </w:p>
                <w:p w14:paraId="041089B1" w14:textId="28DC2B3A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CC2BDA">
                    <w:t>Kundenprozesse</w:t>
                  </w:r>
                </w:p>
                <w:p w14:paraId="097EEE25" w14:textId="341F45A0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812D44">
                    <w:rPr>
                      <w:b/>
                    </w:rPr>
                    <w:t>12</w:t>
                  </w:r>
                  <w:r w:rsidR="00674DBB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CC2BDA">
                    <w:t>Geschäftsprozesse steuern und Bestandskundschaft im Lebenszyklus binden</w:t>
                  </w:r>
                  <w:r w:rsidRPr="00FF53F1">
                    <w:t xml:space="preserve"> </w:t>
                  </w:r>
                  <w:r w:rsidR="00674DBB" w:rsidRPr="00FF53F1">
                    <w:t>(</w:t>
                  </w:r>
                  <w:r w:rsidR="00674DBB">
                    <w:t xml:space="preserve">80 </w:t>
                  </w:r>
                  <w:r w:rsidR="00674DBB" w:rsidRPr="00FF53F1">
                    <w:t>UStd</w:t>
                  </w:r>
                  <w:r w:rsidR="00674DBB" w:rsidRPr="00260B4A">
                    <w:t>.)</w:t>
                  </w:r>
                </w:p>
                <w:p w14:paraId="6582C6AC" w14:textId="676E34E9" w:rsidR="00FF32F3" w:rsidRPr="00FF53F1" w:rsidRDefault="00FF32F3" w:rsidP="00674DBB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6153F9">
                    <w:rPr>
                      <w:b/>
                    </w:rPr>
                    <w:t>12.</w:t>
                  </w:r>
                  <w:r w:rsidR="00306C19">
                    <w:rPr>
                      <w:b/>
                    </w:rPr>
                    <w:t>2</w:t>
                  </w:r>
                  <w:r w:rsidRPr="00674DBB">
                    <w:t>:</w:t>
                  </w:r>
                  <w:r w:rsidRPr="00FF53F1">
                    <w:tab/>
                  </w:r>
                  <w:bookmarkStart w:id="0" w:name="_GoBack"/>
                  <w:r w:rsidR="00D6785C">
                    <w:t>Kennzahlen im</w:t>
                  </w:r>
                  <w:r w:rsidRPr="00FF53F1">
                    <w:t xml:space="preserve"> </w:t>
                  </w:r>
                  <w:r w:rsidR="00D6785C">
                    <w:t>Bestandskundengeschäft analysieren und Maßnahmen zur Kundenbindung entwickeln</w:t>
                  </w:r>
                  <w:bookmarkEnd w:id="0"/>
                  <w:r w:rsidR="00D6785C">
                    <w:t xml:space="preserve"> </w:t>
                  </w:r>
                  <w:r w:rsidR="00674DBB" w:rsidRPr="00FF53F1">
                    <w:t>(</w:t>
                  </w:r>
                  <w:r w:rsidR="00674DBB">
                    <w:t>30</w:t>
                  </w:r>
                  <w:r w:rsidR="00674DBB" w:rsidRPr="00FF53F1">
                    <w:t xml:space="preserve"> UStd.</w:t>
                  </w:r>
                  <w:r w:rsidR="00674DBB" w:rsidRPr="00260B4A">
                    <w:t>)</w:t>
                  </w:r>
                </w:p>
              </w:tc>
            </w:tr>
            <w:tr w:rsidR="00FF32F3" w:rsidRPr="00FF53F1" w14:paraId="2A970131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328B207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638817D7" w14:textId="2CB155B2" w:rsidR="00EE0E61" w:rsidRDefault="00306C19" w:rsidP="00FF32F3">
                  <w:pPr>
                    <w:pStyle w:val="Tabellentext"/>
                    <w:spacing w:before="0"/>
                  </w:pPr>
                  <w:r>
                    <w:t>Der Agent wird von seinem Steuerberater auf einen drohenden Liquiditätsengpass hingewiesen. Die fixen Kosten der Agentur sollten dringend überprüft werden.</w:t>
                  </w:r>
                  <w:r w:rsidR="00BD4B92">
                    <w:t xml:space="preserve"> Die s</w:t>
                  </w:r>
                  <w:r w:rsidR="008415DE">
                    <w:t>inke</w:t>
                  </w:r>
                  <w:r w:rsidR="00BD4B92">
                    <w:t>nden Provision</w:t>
                  </w:r>
                  <w:r w:rsidR="008415DE">
                    <w:t xml:space="preserve">szahlungen bereiten dem Agenten bereits </w:t>
                  </w:r>
                  <w:r w:rsidR="00C10E69">
                    <w:t>seit L</w:t>
                  </w:r>
                  <w:r w:rsidR="008415DE">
                    <w:t>änge</w:t>
                  </w:r>
                  <w:r w:rsidR="00C10E69">
                    <w:t>rem</w:t>
                  </w:r>
                  <w:r w:rsidR="008415DE">
                    <w:t xml:space="preserve"> Sorgen. Zur Stabilisierung der Zahlen im Bestandskundengeschäft möchte er Strategien zu</w:t>
                  </w:r>
                  <w:r w:rsidR="00597818">
                    <w:t>r</w:t>
                  </w:r>
                  <w:r w:rsidR="008415DE">
                    <w:t xml:space="preserve"> besseren Kundenbindung entwickeln.</w:t>
                  </w:r>
                </w:p>
                <w:p w14:paraId="337CD64D" w14:textId="77777777" w:rsidR="008415DE" w:rsidRDefault="008415DE" w:rsidP="00FF32F3">
                  <w:pPr>
                    <w:pStyle w:val="Tabellentext"/>
                    <w:spacing w:before="0"/>
                  </w:pPr>
                </w:p>
                <w:p w14:paraId="3FA08263" w14:textId="77777777" w:rsidR="00306C19" w:rsidRPr="00FF53F1" w:rsidRDefault="00306C19" w:rsidP="00FF32F3">
                  <w:pPr>
                    <w:pStyle w:val="Tabellentext"/>
                    <w:spacing w:before="0"/>
                  </w:pPr>
                </w:p>
                <w:p w14:paraId="549BF201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7D9FF763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49E4FD53" w14:textId="23C99D23" w:rsidR="00A47967" w:rsidRDefault="002C40D4" w:rsidP="00674DBB">
                  <w:pPr>
                    <w:pStyle w:val="Tabellenspiegelstrich"/>
                  </w:pPr>
                  <w:r>
                    <w:t xml:space="preserve">Liste relevanter Kennzahlen im </w:t>
                  </w:r>
                  <w:r w:rsidR="00A47967">
                    <w:t>Bestandskundengeschäft</w:t>
                  </w:r>
                </w:p>
                <w:p w14:paraId="47432F07" w14:textId="6071F3BC" w:rsidR="002C40D4" w:rsidRDefault="00A47967" w:rsidP="00674DBB">
                  <w:pPr>
                    <w:pStyle w:val="Tabellenspiegelstrich"/>
                  </w:pPr>
                  <w:r>
                    <w:t>Visu</w:t>
                  </w:r>
                  <w:r w:rsidR="003D1F1A">
                    <w:t>a</w:t>
                  </w:r>
                  <w:r>
                    <w:t>lisierung der ermittelten Kennzahlen</w:t>
                  </w:r>
                </w:p>
                <w:p w14:paraId="3A778443" w14:textId="5B48177C" w:rsidR="00E66F30" w:rsidRDefault="00E66F30" w:rsidP="00674DBB">
                  <w:pPr>
                    <w:pStyle w:val="Tabellenspiegelstrich"/>
                  </w:pPr>
                  <w:r>
                    <w:t>Kundenfragebogen als Feedbackmöglichkeit</w:t>
                  </w:r>
                  <w:r w:rsidR="002A265A">
                    <w:t xml:space="preserve"> für die </w:t>
                  </w:r>
                  <w:r w:rsidR="00597818">
                    <w:t xml:space="preserve">Kundinnen und </w:t>
                  </w:r>
                  <w:r w:rsidR="002A265A">
                    <w:t>Kunden</w:t>
                  </w:r>
                </w:p>
                <w:p w14:paraId="378611D6" w14:textId="62C5111C" w:rsidR="00A47967" w:rsidRDefault="00A47967" w:rsidP="00674DBB">
                  <w:pPr>
                    <w:pStyle w:val="Tabellenspiegelstrich"/>
                  </w:pPr>
                  <w:r>
                    <w:t>Kundenberatungsgespräch zur Rückgewinnung von Bestandskunden (Einwandbehandlung)</w:t>
                  </w:r>
                </w:p>
                <w:p w14:paraId="78CC2B47" w14:textId="77777777" w:rsidR="00E66F30" w:rsidRPr="00FF53F1" w:rsidRDefault="00E66F30" w:rsidP="00FF32F3">
                  <w:pPr>
                    <w:pStyle w:val="Tabellentext"/>
                    <w:spacing w:before="0"/>
                  </w:pPr>
                </w:p>
                <w:p w14:paraId="769E521E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32C133BF" w14:textId="43B8B8E8" w:rsidR="00FF32F3" w:rsidRDefault="00B43FAF" w:rsidP="00674DBB">
                  <w:pPr>
                    <w:pStyle w:val="Tabellenspiegelstrich"/>
                    <w:rPr>
                      <w:b/>
                    </w:rPr>
                  </w:pPr>
                  <w:r>
                    <w:t>Schriftliche Leistungs</w:t>
                  </w:r>
                  <w:r w:rsidR="00C10E69">
                    <w:t>abfrage</w:t>
                  </w:r>
                  <w:r>
                    <w:t xml:space="preserve"> zu Kennzahlen</w:t>
                  </w:r>
                </w:p>
                <w:p w14:paraId="38EB0120" w14:textId="3189771B" w:rsidR="00FF32F3" w:rsidRPr="00674DBB" w:rsidRDefault="00B43FAF" w:rsidP="00FF32F3">
                  <w:pPr>
                    <w:pStyle w:val="Tabellenspiegelstrich"/>
                    <w:rPr>
                      <w:b/>
                    </w:rPr>
                  </w:pPr>
                  <w:r>
                    <w:t xml:space="preserve">Bewertung des </w:t>
                  </w:r>
                  <w:r w:rsidR="003C14B5">
                    <w:t>Projektergebnisses</w:t>
                  </w:r>
                </w:p>
              </w:tc>
            </w:tr>
            <w:tr w:rsidR="00FF32F3" w:rsidRPr="00FF53F1" w14:paraId="474B76C7" w14:textId="77777777" w:rsidTr="00674DBB">
              <w:tc>
                <w:tcPr>
                  <w:tcW w:w="7299" w:type="dxa"/>
                </w:tcPr>
                <w:p w14:paraId="7E15831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3C2673BB" w14:textId="41B14BBC" w:rsidR="00812D44" w:rsidRDefault="00674DBB" w:rsidP="00812D44">
                  <w:pPr>
                    <w:pStyle w:val="Tabellenspiegelstrich"/>
                    <w:numPr>
                      <w:ilvl w:val="0"/>
                      <w:numId w:val="0"/>
                    </w:numPr>
                    <w:ind w:left="340"/>
                  </w:pPr>
                  <w:r>
                    <w:t>Die Schülerinnen und Schüler</w:t>
                  </w:r>
                </w:p>
                <w:p w14:paraId="39FBF7BC" w14:textId="3E04BB11" w:rsidR="00812D44" w:rsidRDefault="00812D44" w:rsidP="00FF32F3">
                  <w:pPr>
                    <w:pStyle w:val="Tabellenspiegelstrich"/>
                  </w:pPr>
                  <w:r>
                    <w:t xml:space="preserve">arbeiten mit vertrieblichen Statistiken </w:t>
                  </w:r>
                  <w:r w:rsidR="00BA1576">
                    <w:t xml:space="preserve">und </w:t>
                  </w:r>
                  <w:r>
                    <w:t>werten diese aus</w:t>
                  </w:r>
                </w:p>
                <w:p w14:paraId="6258FB65" w14:textId="28FDCE3B" w:rsidR="002C40D4" w:rsidRDefault="00812D44" w:rsidP="00FF32F3">
                  <w:pPr>
                    <w:pStyle w:val="Tabellenspiegelstrich"/>
                  </w:pPr>
                  <w:r>
                    <w:t>erkennen r</w:t>
                  </w:r>
                  <w:r w:rsidR="002C40D4">
                    <w:t xml:space="preserve">elevante Kennzahlen und bewerten </w:t>
                  </w:r>
                  <w:r>
                    <w:t xml:space="preserve">diese </w:t>
                  </w:r>
                  <w:r w:rsidR="002C40D4">
                    <w:t>im Hinblick auf situativ gegebene Daten (z.</w:t>
                  </w:r>
                  <w:r w:rsidR="00260B4A">
                    <w:t xml:space="preserve"> </w:t>
                  </w:r>
                  <w:r w:rsidR="002C40D4">
                    <w:t>B. Branchenwerte, Marktentwicklung)</w:t>
                  </w:r>
                </w:p>
                <w:p w14:paraId="6909DC14" w14:textId="2A9975A7" w:rsidR="003C14B5" w:rsidRPr="00812D44" w:rsidRDefault="00812D44" w:rsidP="003C14B5">
                  <w:pPr>
                    <w:pStyle w:val="Tabellenspiegelstrich"/>
                  </w:pPr>
                  <w:r w:rsidRPr="00674DBB">
                    <w:rPr>
                      <w:rFonts w:eastAsia="Times New Roman"/>
                      <w:color w:val="007EC5"/>
                    </w:rPr>
                    <w:t>n</w:t>
                  </w:r>
                  <w:r w:rsidR="00A477F8" w:rsidRPr="00674DBB">
                    <w:rPr>
                      <w:rFonts w:eastAsia="Times New Roman"/>
                      <w:color w:val="007EC5"/>
                    </w:rPr>
                    <w:t>utzen geeignete digitale Tools zur Auswertung und Darstellung von Vertriebskennzahlen</w:t>
                  </w:r>
                </w:p>
                <w:p w14:paraId="7F5FE746" w14:textId="49921824" w:rsidR="003C14B5" w:rsidRPr="00674DBB" w:rsidRDefault="00812D44" w:rsidP="003C14B5">
                  <w:pPr>
                    <w:pStyle w:val="Tabellenspiegelstrich"/>
                    <w:rPr>
                      <w:rFonts w:eastAsia="Times New Roman"/>
                      <w:color w:val="ED7D31"/>
                    </w:rPr>
                  </w:pPr>
                  <w:r w:rsidRPr="00674DBB">
                    <w:rPr>
                      <w:rFonts w:eastAsia="Times New Roman"/>
                      <w:color w:val="ED7D31"/>
                    </w:rPr>
                    <w:t>a</w:t>
                  </w:r>
                  <w:r w:rsidR="00A47967" w:rsidRPr="00674DBB">
                    <w:rPr>
                      <w:rFonts w:eastAsia="Times New Roman"/>
                      <w:color w:val="ED7D31"/>
                    </w:rPr>
                    <w:t>nalysieren die Befragungsergebnisse und bewerten sie im Hinblick auf ihre Aussagefähigkeit (z.</w:t>
                  </w:r>
                  <w:r w:rsidR="00260B4A" w:rsidRPr="00674DBB">
                    <w:rPr>
                      <w:rFonts w:eastAsia="Times New Roman"/>
                      <w:color w:val="ED7D31"/>
                    </w:rPr>
                    <w:t xml:space="preserve"> </w:t>
                  </w:r>
                  <w:r w:rsidR="00A47967" w:rsidRPr="00674DBB">
                    <w:rPr>
                      <w:rFonts w:eastAsia="Times New Roman"/>
                      <w:color w:val="ED7D31"/>
                    </w:rPr>
                    <w:t>B. Stichprobengröße)</w:t>
                  </w:r>
                </w:p>
                <w:p w14:paraId="371C48BB" w14:textId="6B05AA42" w:rsidR="003C14B5" w:rsidRPr="00FF53F1" w:rsidRDefault="003C14B5" w:rsidP="003C14B5">
                  <w:pPr>
                    <w:pStyle w:val="Tabellenspiegelstrich"/>
                  </w:pPr>
                  <w:r>
                    <w:t xml:space="preserve">können Beendigungsgründe aus Sicht der </w:t>
                  </w:r>
                  <w:r w:rsidR="00597818">
                    <w:t xml:space="preserve">Kundinnen und </w:t>
                  </w:r>
                  <w:r>
                    <w:t>Kunden nachvollziehen</w:t>
                  </w:r>
                </w:p>
                <w:p w14:paraId="2C179DC8" w14:textId="46A6171B" w:rsidR="00A477F8" w:rsidRPr="00C55D60" w:rsidRDefault="00812D44" w:rsidP="00A477F8">
                  <w:pPr>
                    <w:pStyle w:val="Tabellenspiegelstrich"/>
                    <w:rPr>
                      <w:color w:val="00B0F0"/>
                    </w:rPr>
                  </w:pPr>
                  <w:r>
                    <w:t xml:space="preserve">erkennen </w:t>
                  </w:r>
                  <w:r w:rsidR="003D1F1A">
                    <w:t xml:space="preserve">und entwickeln </w:t>
                  </w:r>
                  <w:r w:rsidR="007E79C1">
                    <w:t>Maßnahmen zur Kundenbindung</w:t>
                  </w:r>
                  <w:r w:rsidR="003C14B5">
                    <w:t xml:space="preserve"> im Rahmen des Projektmanagements</w:t>
                  </w:r>
                </w:p>
                <w:p w14:paraId="379BCC7C" w14:textId="1709EBE8" w:rsidR="00C55D60" w:rsidRPr="003B67AF" w:rsidRDefault="00C55D60" w:rsidP="00A477F8">
                  <w:pPr>
                    <w:pStyle w:val="Tabellenspiegelstrich"/>
                    <w:rPr>
                      <w:color w:val="00B0F0"/>
                    </w:rPr>
                  </w:pPr>
                  <w:r>
                    <w:t>wenden die in LF X eingeführte Checkliste zur Projektdurchführung an</w:t>
                  </w:r>
                </w:p>
                <w:p w14:paraId="52DA0ECE" w14:textId="48E80CA3" w:rsidR="003B67AF" w:rsidRPr="00674DBB" w:rsidRDefault="003B67AF" w:rsidP="00A477F8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674DBB">
                    <w:rPr>
                      <w:rFonts w:eastAsia="Times New Roman"/>
                      <w:color w:val="007EC5"/>
                    </w:rPr>
                    <w:t>nutzen ein Tool zur Dokumentation der Projektarbeitsprozesse</w:t>
                  </w:r>
                </w:p>
                <w:p w14:paraId="6B109715" w14:textId="23752E06" w:rsidR="00A477F8" w:rsidRPr="00674DBB" w:rsidRDefault="00812D44" w:rsidP="00A477F8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674DBB">
                    <w:rPr>
                      <w:rFonts w:eastAsia="Times New Roman"/>
                      <w:color w:val="007EC5"/>
                    </w:rPr>
                    <w:lastRenderedPageBreak/>
                    <w:t>e</w:t>
                  </w:r>
                  <w:r w:rsidR="00A477F8" w:rsidRPr="00674DBB">
                    <w:rPr>
                      <w:rFonts w:eastAsia="Times New Roman"/>
                      <w:color w:val="007EC5"/>
                    </w:rPr>
                    <w:t>ntwickeln einen Kundenfragebogen unter Nutzung digitaler Werkzeuge</w:t>
                  </w:r>
                  <w:r w:rsidR="00260B4A" w:rsidRPr="00674DBB">
                    <w:rPr>
                      <w:rFonts w:eastAsia="Times New Roman"/>
                      <w:color w:val="007EC5"/>
                    </w:rPr>
                    <w:t>.</w:t>
                  </w:r>
                </w:p>
                <w:p w14:paraId="694CE593" w14:textId="209A7A65" w:rsidR="00FF32F3" w:rsidRPr="00FF53F1" w:rsidRDefault="003B67AF" w:rsidP="00674DBB">
                  <w:pPr>
                    <w:pStyle w:val="Tabellenspiegelstrich"/>
                  </w:pPr>
                  <w:r w:rsidRPr="00674DBB">
                    <w:rPr>
                      <w:rFonts w:eastAsia="Times New Roman"/>
                      <w:color w:val="4CB848"/>
                    </w:rPr>
                    <w:t>führen einen Upload der Gruppenergebnisse durch</w:t>
                  </w:r>
                  <w:r w:rsidR="00260B4A" w:rsidRPr="00674DBB">
                    <w:rPr>
                      <w:rFonts w:eastAsia="Times New Roman"/>
                      <w:color w:val="4CB848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46102FC3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7605333D" w14:textId="18E34EEA" w:rsidR="00FF32F3" w:rsidRDefault="002A265A" w:rsidP="00FF32F3">
                  <w:pPr>
                    <w:pStyle w:val="Tabellenspiegelstrich"/>
                  </w:pPr>
                  <w:r>
                    <w:t>Bedeutung der Bestandskundenbindung in Abhängigkeit von den Vertriebskanälen</w:t>
                  </w:r>
                </w:p>
                <w:p w14:paraId="4F85A671" w14:textId="17E7B649" w:rsidR="002A265A" w:rsidRPr="00FF53F1" w:rsidRDefault="007E79C1" w:rsidP="007E79C1">
                  <w:pPr>
                    <w:pStyle w:val="Tabellenspiegelstrich"/>
                  </w:pPr>
                  <w:r>
                    <w:t>Anlässe für Bestandskundenstorni</w:t>
                  </w:r>
                </w:p>
                <w:p w14:paraId="7CEF2163" w14:textId="3F3B1E11" w:rsidR="007E79C1" w:rsidRDefault="00E66F30" w:rsidP="00FF32F3">
                  <w:pPr>
                    <w:pStyle w:val="Tabellenspiegelstrich"/>
                  </w:pPr>
                  <w:r>
                    <w:t>Vertriebskennzahlen, z.</w:t>
                  </w:r>
                  <w:r w:rsidR="00260B4A">
                    <w:t xml:space="preserve"> </w:t>
                  </w:r>
                  <w:r>
                    <w:t>B. Terminquote, Stornoquote</w:t>
                  </w:r>
                </w:p>
                <w:p w14:paraId="408B9E7A" w14:textId="2F48C478" w:rsidR="00FF32F3" w:rsidRPr="00FF53F1" w:rsidRDefault="007E79C1" w:rsidP="00FF32F3">
                  <w:pPr>
                    <w:pStyle w:val="Tabellenspiegelstrich"/>
                  </w:pPr>
                  <w:r>
                    <w:t>Maßnahmen zur Bestandskundenbindung</w:t>
                  </w:r>
                </w:p>
              </w:tc>
            </w:tr>
            <w:tr w:rsidR="00FF32F3" w:rsidRPr="00FF53F1" w14:paraId="28A3C991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5187C92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65A93D5B" w14:textId="41EF27B8" w:rsidR="00FF32F3" w:rsidRPr="00FF53F1" w:rsidRDefault="003C14B5" w:rsidP="00052511">
                  <w:pPr>
                    <w:pStyle w:val="Tabellentext"/>
                  </w:pPr>
                  <w:r>
                    <w:t>Arbeit in Projektgruppen</w:t>
                  </w:r>
                  <w:r w:rsidR="00B43FAF">
                    <w:t xml:space="preserve"> </w:t>
                  </w:r>
                  <w:r>
                    <w:t>(Projektmanagement)</w:t>
                  </w:r>
                  <w:r w:rsidR="00052511">
                    <w:t xml:space="preserve">, </w:t>
                  </w:r>
                  <w:r w:rsidR="00B43FAF">
                    <w:t>Rollenspiel (KBG), Einzel</w:t>
                  </w:r>
                  <w:r w:rsidR="00052511">
                    <w:t>- und Partner</w:t>
                  </w:r>
                  <w:r w:rsidR="00B43FAF">
                    <w:t>arbeit (Kennzahlenberechnung)</w:t>
                  </w:r>
                </w:p>
              </w:tc>
            </w:tr>
            <w:tr w:rsidR="00FF32F3" w:rsidRPr="00FF53F1" w14:paraId="387EBD1D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E787CA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5F53806A" w14:textId="5FE6963D" w:rsidR="00FF32F3" w:rsidRPr="00FF53F1" w:rsidRDefault="00A477F8" w:rsidP="00FF32F3">
                  <w:pPr>
                    <w:pStyle w:val="Tabellentext"/>
                  </w:pPr>
                  <w:r>
                    <w:t>Förderung Digitaler Schlüsselkompetenzen (Einleger DSK)</w:t>
                  </w:r>
                </w:p>
                <w:p w14:paraId="2172499D" w14:textId="77777777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0EE2620A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129DA66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09B44AC0" w14:textId="31049DC4" w:rsidR="00FF32F3" w:rsidRPr="00FF53F1" w:rsidRDefault="00052511" w:rsidP="00FF32F3">
                  <w:pPr>
                    <w:pStyle w:val="Tabellentext"/>
                    <w:spacing w:before="0"/>
                  </w:pPr>
                  <w:r>
                    <w:t xml:space="preserve">EDV – Raum oder </w:t>
                  </w:r>
                  <w:r w:rsidR="00B43FAF">
                    <w:t>WLAN, Präsentationssoftware, Tabellenkalkulationssoftware</w:t>
                  </w:r>
                  <w:r w:rsidR="00966A76">
                    <w:t>, geeignetes Online–Tool zur Erstellung der Kundenabfrage</w:t>
                  </w:r>
                </w:p>
                <w:p w14:paraId="64A451C8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</w:tr>
          </w:tbl>
          <w:p w14:paraId="1DD7E131" w14:textId="77777777" w:rsidR="00FF32F3" w:rsidRDefault="00FF32F3" w:rsidP="00FF32F3"/>
        </w:tc>
      </w:tr>
    </w:tbl>
    <w:p w14:paraId="1C4D1E8F" w14:textId="30C6F3EF" w:rsidR="005F408F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55EB521A" w14:textId="77777777" w:rsidR="00CD20D1" w:rsidRDefault="00CD20D1" w:rsidP="00DF721C">
      <w:pPr>
        <w:spacing w:before="120" w:after="0"/>
      </w:pPr>
    </w:p>
    <w:sectPr w:rsidR="00CD20D1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67B56" w14:textId="77777777" w:rsidR="00ED2CFA" w:rsidRDefault="00ED2CFA">
      <w:r>
        <w:separator/>
      </w:r>
    </w:p>
    <w:p w14:paraId="75C65A9F" w14:textId="77777777" w:rsidR="00ED2CFA" w:rsidRDefault="00ED2CFA"/>
    <w:p w14:paraId="558F716F" w14:textId="77777777" w:rsidR="00ED2CFA" w:rsidRDefault="00ED2CFA"/>
  </w:endnote>
  <w:endnote w:type="continuationSeparator" w:id="0">
    <w:p w14:paraId="385AA0A3" w14:textId="77777777" w:rsidR="00ED2CFA" w:rsidRDefault="00ED2CFA">
      <w:r>
        <w:continuationSeparator/>
      </w:r>
    </w:p>
    <w:p w14:paraId="07D163C3" w14:textId="77777777" w:rsidR="00ED2CFA" w:rsidRDefault="00ED2CFA"/>
    <w:p w14:paraId="06ECDB74" w14:textId="77777777" w:rsidR="00ED2CFA" w:rsidRDefault="00ED2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4BE82" w14:textId="14CD3B5B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674DBB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674DBB">
      <w:fldChar w:fldCharType="begin"/>
    </w:r>
    <w:r w:rsidR="00674DBB">
      <w:instrText xml:space="preserve"> NUMPAGES  \* Arabic  \* MERGEFORMAT </w:instrText>
    </w:r>
    <w:r w:rsidR="00674DBB">
      <w:fldChar w:fldCharType="separate"/>
    </w:r>
    <w:r w:rsidR="00674DBB">
      <w:rPr>
        <w:noProof/>
      </w:rPr>
      <w:t>3</w:t>
    </w:r>
    <w:r w:rsidR="00674DB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B3256" w14:textId="77777777" w:rsidR="00ED2CFA" w:rsidRDefault="00ED2CFA">
      <w:r>
        <w:separator/>
      </w:r>
    </w:p>
  </w:footnote>
  <w:footnote w:type="continuationSeparator" w:id="0">
    <w:p w14:paraId="3A5ACE96" w14:textId="77777777" w:rsidR="00ED2CFA" w:rsidRDefault="00ED2CFA">
      <w:r>
        <w:continuationSeparator/>
      </w:r>
    </w:p>
    <w:p w14:paraId="48B431C0" w14:textId="77777777" w:rsidR="00ED2CFA" w:rsidRDefault="00ED2CFA"/>
    <w:p w14:paraId="43E563BF" w14:textId="77777777" w:rsidR="00ED2CFA" w:rsidRDefault="00ED2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4ACA9" w14:textId="67C61E59" w:rsidR="005F408F" w:rsidRDefault="000E34C7" w:rsidP="008234F4">
    <w:pPr>
      <w:pStyle w:val="berschrift2"/>
      <w:numPr>
        <w:ilvl w:val="0"/>
        <w:numId w:val="0"/>
      </w:numPr>
      <w:spacing w:before="0"/>
    </w:pPr>
    <w:r>
      <w:t>Kauf</w:t>
    </w:r>
    <w:r w:rsidR="00C10E69">
      <w:t>frau</w:t>
    </w:r>
    <w:r w:rsidR="00674DBB">
      <w:t xml:space="preserve"> für Versicherungen und Finanzanlagen</w:t>
    </w:r>
    <w:r w:rsidR="00674DBB">
      <w:t xml:space="preserve"> und </w:t>
    </w:r>
    <w:r w:rsidR="00C10E69">
      <w:t>Kaufmann</w:t>
    </w:r>
    <w:r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9304F2"/>
    <w:multiLevelType w:val="hybridMultilevel"/>
    <w:tmpl w:val="B470E4A0"/>
    <w:lvl w:ilvl="0" w:tplc="DB92FD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16A0544"/>
    <w:multiLevelType w:val="hybridMultilevel"/>
    <w:tmpl w:val="FC3419A4"/>
    <w:lvl w:ilvl="0" w:tplc="769E0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2"/>
  </w:num>
  <w:num w:numId="15">
    <w:abstractNumId w:val="19"/>
  </w:num>
  <w:num w:numId="16">
    <w:abstractNumId w:val="24"/>
  </w:num>
  <w:num w:numId="17">
    <w:abstractNumId w:val="11"/>
  </w:num>
  <w:num w:numId="18">
    <w:abstractNumId w:val="15"/>
  </w:num>
  <w:num w:numId="19">
    <w:abstractNumId w:val="25"/>
  </w:num>
  <w:num w:numId="20">
    <w:abstractNumId w:val="16"/>
  </w:num>
  <w:num w:numId="21">
    <w:abstractNumId w:val="14"/>
  </w:num>
  <w:num w:numId="22">
    <w:abstractNumId w:val="23"/>
  </w:num>
  <w:num w:numId="23">
    <w:abstractNumId w:val="10"/>
  </w:num>
  <w:num w:numId="24">
    <w:abstractNumId w:val="12"/>
  </w:num>
  <w:num w:numId="25">
    <w:abstractNumId w:val="21"/>
  </w:num>
  <w:num w:numId="26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3BFD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2511"/>
    <w:rsid w:val="0005360E"/>
    <w:rsid w:val="0005533A"/>
    <w:rsid w:val="00057036"/>
    <w:rsid w:val="00060FB8"/>
    <w:rsid w:val="000617AD"/>
    <w:rsid w:val="0006361E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18E0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0B4A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265A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0D4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6C19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2B29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7AF"/>
    <w:rsid w:val="003B740E"/>
    <w:rsid w:val="003C14B5"/>
    <w:rsid w:val="003C167C"/>
    <w:rsid w:val="003C1F2F"/>
    <w:rsid w:val="003C2510"/>
    <w:rsid w:val="003C4FBC"/>
    <w:rsid w:val="003C561A"/>
    <w:rsid w:val="003C6D85"/>
    <w:rsid w:val="003D1F1A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7818"/>
    <w:rsid w:val="00597FF2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693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1635"/>
    <w:rsid w:val="005E3690"/>
    <w:rsid w:val="005E3AFC"/>
    <w:rsid w:val="005E53CA"/>
    <w:rsid w:val="005E5427"/>
    <w:rsid w:val="005E6771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3F9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74DBB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668AA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E79C1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D44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5DE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6A76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362F"/>
    <w:rsid w:val="00A35CB3"/>
    <w:rsid w:val="00A35CF7"/>
    <w:rsid w:val="00A37BFB"/>
    <w:rsid w:val="00A4329D"/>
    <w:rsid w:val="00A477F8"/>
    <w:rsid w:val="00A47967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2D5A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3FAF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576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4B92"/>
    <w:rsid w:val="00BD6AEB"/>
    <w:rsid w:val="00BD7D89"/>
    <w:rsid w:val="00BE0932"/>
    <w:rsid w:val="00BE1120"/>
    <w:rsid w:val="00BE266F"/>
    <w:rsid w:val="00BE2F66"/>
    <w:rsid w:val="00BE558F"/>
    <w:rsid w:val="00BE6CAE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69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5D60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4BC6"/>
    <w:rsid w:val="00C9648B"/>
    <w:rsid w:val="00CA1D31"/>
    <w:rsid w:val="00CA29A0"/>
    <w:rsid w:val="00CA59C9"/>
    <w:rsid w:val="00CA5AF4"/>
    <w:rsid w:val="00CC1F61"/>
    <w:rsid w:val="00CC2011"/>
    <w:rsid w:val="00CC2BDA"/>
    <w:rsid w:val="00CC5964"/>
    <w:rsid w:val="00CD1F11"/>
    <w:rsid w:val="00CD20D1"/>
    <w:rsid w:val="00CD3F4A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6785C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66F3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2CFA"/>
    <w:rsid w:val="00ED3449"/>
    <w:rsid w:val="00ED46F9"/>
    <w:rsid w:val="00ED52A0"/>
    <w:rsid w:val="00ED532B"/>
    <w:rsid w:val="00ED67DE"/>
    <w:rsid w:val="00EE0E61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91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260B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2022-03-08T13:32:00Z</dcterms:created>
  <dcterms:modified xsi:type="dcterms:W3CDTF">2022-03-08T13:32:00Z</dcterms:modified>
</cp:coreProperties>
</file>