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E20F6" w14:textId="21E25818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 w:rsidR="006E2B0D">
        <w:rPr>
          <w:b/>
          <w:bCs/>
          <w:sz w:val="28"/>
          <w:szCs w:val="28"/>
        </w:rPr>
        <w:t xml:space="preserve"> 10: Kunden im Bedarfsfeld Finanzanlagen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193493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4A3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144D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976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7C248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9710FB" w:rsidRPr="00CA1D31" w14:paraId="246B764B" w14:textId="77777777" w:rsidTr="009710FB">
        <w:trPr>
          <w:cantSplit/>
          <w:trHeight w:val="892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621" w14:textId="77777777" w:rsidR="009710FB" w:rsidRPr="00850CC4" w:rsidRDefault="009710FB" w:rsidP="009710FB">
            <w:pPr>
              <w:spacing w:before="60" w:after="0"/>
              <w:jc w:val="left"/>
            </w:pPr>
            <w:r>
              <w:t>10.1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B97" w14:textId="035A5163" w:rsidR="009710FB" w:rsidRPr="00850CC4" w:rsidRDefault="009710FB" w:rsidP="009710FB">
            <w:pPr>
              <w:spacing w:before="60" w:after="0"/>
              <w:jc w:val="left"/>
            </w:pPr>
            <w:r>
              <w:t>Rechtliche Grundlagen der Finanzanlagenberatung und –</w:t>
            </w:r>
            <w:proofErr w:type="spellStart"/>
            <w:r>
              <w:t>vermittlung</w:t>
            </w:r>
            <w:proofErr w:type="spellEnd"/>
            <w:r>
              <w:t xml:space="preserve"> sowie d</w:t>
            </w:r>
            <w:r w:rsidR="00C47C32">
              <w:t>er</w:t>
            </w:r>
            <w:r>
              <w:t xml:space="preserve"> Honorar-Finanzanlagenberatung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2442" w14:textId="11EB9382" w:rsidR="009710FB" w:rsidRPr="00F2708B" w:rsidRDefault="00F2708B" w:rsidP="009710FB">
            <w:pPr>
              <w:spacing w:before="60" w:after="0"/>
              <w:jc w:val="left"/>
              <w:rPr>
                <w:bCs/>
              </w:rPr>
            </w:pPr>
            <w:r w:rsidRPr="00F2708B">
              <w:rPr>
                <w:bCs/>
              </w:rPr>
              <w:t>4</w:t>
            </w:r>
            <w:r w:rsidR="006E2B0D"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FFE119" w14:textId="77777777" w:rsidR="009710FB" w:rsidRPr="00FF3DAD" w:rsidRDefault="009710FB" w:rsidP="009710F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9710FB" w:rsidRPr="00CA1D31" w14:paraId="66CCB812" w14:textId="77777777" w:rsidTr="00112225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88A" w14:textId="77777777" w:rsidR="009710FB" w:rsidRDefault="009710FB" w:rsidP="009710FB">
            <w:pPr>
              <w:spacing w:before="60" w:after="0"/>
              <w:jc w:val="left"/>
            </w:pPr>
            <w:r>
              <w:t>10.2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FEF" w14:textId="77777777" w:rsidR="009710FB" w:rsidRDefault="009710FB" w:rsidP="009710FB">
            <w:pPr>
              <w:spacing w:before="60" w:after="0"/>
              <w:jc w:val="left"/>
            </w:pPr>
            <w:r>
              <w:t>Analyse der Finanzsituationen und Kundenbedarfe von Kundinnen und Kunden</w:t>
            </w:r>
            <w:r w:rsidR="00F2708B"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0CE" w14:textId="5B35858A" w:rsidR="009710FB" w:rsidRPr="00F2708B" w:rsidRDefault="00F2708B" w:rsidP="009710FB">
            <w:pPr>
              <w:spacing w:before="60" w:after="0"/>
              <w:jc w:val="left"/>
              <w:rPr>
                <w:bCs/>
              </w:rPr>
            </w:pPr>
            <w:r>
              <w:rPr>
                <w:bCs/>
              </w:rPr>
              <w:t>6</w:t>
            </w:r>
            <w:r w:rsidR="006E2B0D"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72D7C7" w14:textId="77777777" w:rsidR="009710FB" w:rsidRPr="00FF3DAD" w:rsidRDefault="009710FB" w:rsidP="009710F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9710FB" w:rsidRPr="00850CC4" w14:paraId="0DFEBF7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F04" w14:textId="77777777" w:rsidR="009710FB" w:rsidRPr="00850CC4" w:rsidRDefault="009710FB" w:rsidP="009710FB">
            <w:pPr>
              <w:spacing w:before="60" w:after="0"/>
              <w:jc w:val="left"/>
            </w:pPr>
            <w:r>
              <w:t>10.</w:t>
            </w:r>
            <w:r w:rsidR="00F2708B"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C8B" w14:textId="3DE4C444" w:rsidR="009710FB" w:rsidRPr="00850CC4" w:rsidRDefault="00C47C32" w:rsidP="009710FB">
            <w:pPr>
              <w:spacing w:before="60" w:after="0"/>
              <w:jc w:val="left"/>
            </w:pPr>
            <w:r>
              <w:t>E</w:t>
            </w:r>
            <w:r w:rsidR="009710FB">
              <w:t xml:space="preserve">inen Überblick über die aktuelle Finanzmarktsituation </w:t>
            </w:r>
            <w:r>
              <w:t xml:space="preserve">mithilfe digitaler Medien </w:t>
            </w:r>
            <w:r w:rsidR="009710FB">
              <w:t>erhalten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681" w14:textId="3C1A7445" w:rsidR="009710FB" w:rsidRPr="00850CC4" w:rsidRDefault="00F2708B" w:rsidP="009710FB">
            <w:pPr>
              <w:spacing w:before="60" w:after="0"/>
              <w:jc w:val="left"/>
            </w:pPr>
            <w:r>
              <w:t>8</w:t>
            </w:r>
            <w:r w:rsidR="006E2B0D"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987649" w14:textId="77777777" w:rsidR="009710FB" w:rsidRPr="00850CC4" w:rsidRDefault="009710FB" w:rsidP="009710FB">
            <w:pPr>
              <w:spacing w:before="60" w:after="0"/>
              <w:jc w:val="left"/>
            </w:pPr>
          </w:p>
        </w:tc>
      </w:tr>
      <w:tr w:rsidR="009710FB" w:rsidRPr="00850CC4" w14:paraId="3D09AD9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B44" w14:textId="77777777" w:rsidR="009710FB" w:rsidRPr="00850CC4" w:rsidRDefault="009710FB" w:rsidP="009710FB">
            <w:pPr>
              <w:spacing w:before="60" w:after="0"/>
              <w:jc w:val="left"/>
            </w:pPr>
            <w:r>
              <w:t>10.</w:t>
            </w:r>
            <w:r w:rsidR="00F2708B"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0F6E" w14:textId="509BCA88" w:rsidR="009710FB" w:rsidRPr="00850CC4" w:rsidRDefault="00433E5D" w:rsidP="009710FB">
            <w:pPr>
              <w:spacing w:before="60" w:after="0"/>
              <w:jc w:val="left"/>
            </w:pPr>
            <w:r>
              <w:t xml:space="preserve">Bedarfsgerechte Beratung zu </w:t>
            </w:r>
            <w:r w:rsidR="009710FB">
              <w:t>Schuldverschreibungen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3DA" w14:textId="7CBA5C7C" w:rsidR="009710FB" w:rsidRPr="00850CC4" w:rsidRDefault="00F2708B" w:rsidP="009710FB">
            <w:pPr>
              <w:spacing w:before="60" w:after="0"/>
              <w:jc w:val="left"/>
            </w:pPr>
            <w:r>
              <w:t>8</w:t>
            </w:r>
            <w:r w:rsidR="006E2B0D"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FBEEEC" w14:textId="77777777" w:rsidR="009710FB" w:rsidRPr="00850CC4" w:rsidRDefault="009710FB" w:rsidP="009710F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9710FB" w:rsidRPr="00850CC4" w14:paraId="47B39A18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213" w14:textId="77777777" w:rsidR="009710FB" w:rsidRPr="00850CC4" w:rsidRDefault="009710FB" w:rsidP="009710FB">
            <w:pPr>
              <w:spacing w:before="60" w:after="0"/>
              <w:jc w:val="left"/>
            </w:pPr>
            <w:r>
              <w:t>10.</w:t>
            </w:r>
            <w:r w:rsidR="00F2708B">
              <w:t>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C4B" w14:textId="50CB2669" w:rsidR="009710FB" w:rsidRPr="00850CC4" w:rsidRDefault="00EB319C" w:rsidP="009710FB">
            <w:pPr>
              <w:spacing w:before="60" w:after="0"/>
              <w:jc w:val="left"/>
            </w:pPr>
            <w:r>
              <w:t xml:space="preserve">Bedarfsgerechte Beratung zu </w:t>
            </w:r>
            <w:r w:rsidR="009710FB">
              <w:t>Aktien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77A" w14:textId="2B65C6EF" w:rsidR="009710FB" w:rsidRPr="00850CC4" w:rsidRDefault="00F2708B" w:rsidP="009710FB">
            <w:pPr>
              <w:spacing w:before="60" w:after="0"/>
              <w:jc w:val="left"/>
            </w:pPr>
            <w:r>
              <w:t>14</w:t>
            </w:r>
            <w:r w:rsidR="006E2B0D"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F128B6" w14:textId="77777777" w:rsidR="009710FB" w:rsidRPr="00850CC4" w:rsidRDefault="009710FB" w:rsidP="009710FB">
            <w:pPr>
              <w:spacing w:before="60" w:after="0"/>
              <w:jc w:val="left"/>
            </w:pPr>
          </w:p>
        </w:tc>
      </w:tr>
      <w:tr w:rsidR="009710FB" w:rsidRPr="00850CC4" w14:paraId="39A6052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B9A" w14:textId="77777777" w:rsidR="009710FB" w:rsidRPr="00850CC4" w:rsidRDefault="009710FB" w:rsidP="009710FB">
            <w:pPr>
              <w:spacing w:before="60" w:after="0"/>
              <w:jc w:val="left"/>
            </w:pPr>
            <w:r>
              <w:t>10.</w:t>
            </w:r>
            <w:r w:rsidR="00F2708B">
              <w:t>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777" w14:textId="0C4A2A77" w:rsidR="009710FB" w:rsidRPr="00850CC4" w:rsidRDefault="003F61D5" w:rsidP="009710FB">
            <w:pPr>
              <w:spacing w:before="60" w:after="0"/>
              <w:jc w:val="left"/>
            </w:pPr>
            <w:r>
              <w:t>Bedarfsgerechte Beratung zu</w:t>
            </w:r>
            <w:r w:rsidR="009710FB">
              <w:t xml:space="preserve"> Investmentfonds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5E0" w14:textId="345694A5" w:rsidR="009710FB" w:rsidRPr="00850CC4" w:rsidRDefault="00F2708B" w:rsidP="009710FB">
            <w:pPr>
              <w:spacing w:before="60" w:after="0"/>
              <w:jc w:val="left"/>
            </w:pPr>
            <w:r>
              <w:t>14</w:t>
            </w:r>
            <w:r w:rsidR="006E2B0D"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785D75" w14:textId="77777777" w:rsidR="009710FB" w:rsidRPr="00850CC4" w:rsidRDefault="009710FB" w:rsidP="009710FB">
            <w:pPr>
              <w:spacing w:before="60" w:after="0"/>
              <w:jc w:val="left"/>
            </w:pPr>
          </w:p>
        </w:tc>
      </w:tr>
      <w:tr w:rsidR="009710FB" w:rsidRPr="00850CC4" w14:paraId="561D6B3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299" w14:textId="77777777" w:rsidR="009710FB" w:rsidRPr="00850CC4" w:rsidRDefault="00F2708B" w:rsidP="009710FB">
            <w:pPr>
              <w:spacing w:before="60" w:after="0"/>
              <w:jc w:val="left"/>
            </w:pPr>
            <w:r>
              <w:t>10.7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8BB" w14:textId="77777777" w:rsidR="009710FB" w:rsidRPr="00850CC4" w:rsidRDefault="00F2708B" w:rsidP="00F2708B">
            <w:pPr>
              <w:spacing w:before="60" w:after="0"/>
              <w:jc w:val="left"/>
            </w:pPr>
            <w:r>
              <w:t xml:space="preserve">Planung und Beratung von Geld- und Vermögensanlage inkl. Optimierung und Erfolgskontrolle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CE9" w14:textId="11A5E088" w:rsidR="009710FB" w:rsidRPr="00850CC4" w:rsidRDefault="00F2708B" w:rsidP="009710FB">
            <w:pPr>
              <w:spacing w:before="60" w:after="0"/>
              <w:jc w:val="left"/>
            </w:pPr>
            <w:r>
              <w:t>6</w:t>
            </w:r>
            <w:r w:rsidR="006E2B0D"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010B5B" w14:textId="77777777" w:rsidR="009710FB" w:rsidRPr="00850CC4" w:rsidRDefault="009710FB" w:rsidP="009710FB">
            <w:pPr>
              <w:spacing w:before="60" w:after="0"/>
              <w:jc w:val="left"/>
            </w:pPr>
          </w:p>
        </w:tc>
      </w:tr>
      <w:tr w:rsidR="009710FB" w:rsidRPr="00850CC4" w14:paraId="48E448C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511" w14:textId="77777777" w:rsidR="009710FB" w:rsidRPr="00850CC4" w:rsidRDefault="009710FB" w:rsidP="009710FB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4D8" w14:textId="77777777" w:rsidR="009710FB" w:rsidRPr="00850CC4" w:rsidRDefault="009710FB" w:rsidP="009710FB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9E1" w14:textId="77777777" w:rsidR="009710FB" w:rsidRPr="00850CC4" w:rsidRDefault="009710FB" w:rsidP="009710FB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E46430" w14:textId="77777777" w:rsidR="009710FB" w:rsidRPr="00850CC4" w:rsidRDefault="009710FB" w:rsidP="009710FB">
            <w:pPr>
              <w:spacing w:before="60" w:after="0"/>
              <w:jc w:val="left"/>
            </w:pPr>
          </w:p>
        </w:tc>
      </w:tr>
    </w:tbl>
    <w:p w14:paraId="69EFAF6B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01A629B0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60D7F99D" w14:textId="77777777" w:rsidTr="006D3A19">
              <w:tc>
                <w:tcPr>
                  <w:tcW w:w="14572" w:type="dxa"/>
                  <w:gridSpan w:val="2"/>
                </w:tcPr>
                <w:p w14:paraId="2B29933C" w14:textId="520A4AF0" w:rsidR="00FF32F3" w:rsidRPr="00FF53F1" w:rsidRDefault="00443C6C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3. </w:t>
                  </w:r>
                  <w:r w:rsidR="00FF32F3" w:rsidRPr="00FF53F1">
                    <w:rPr>
                      <w:b/>
                    </w:rPr>
                    <w:t>Ausbildungsjahr</w:t>
                  </w:r>
                </w:p>
                <w:p w14:paraId="750225D5" w14:textId="347715EE" w:rsidR="00FF32F3" w:rsidRPr="00FF53F1" w:rsidRDefault="00FF32F3" w:rsidP="00443C6C">
                  <w:pPr>
                    <w:pStyle w:val="Tabellentext"/>
                    <w:tabs>
                      <w:tab w:val="left" w:pos="2352"/>
                      <w:tab w:val="left" w:pos="2427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="00293124">
                    <w:tab/>
                  </w:r>
                  <w:r w:rsidR="0002011D" w:rsidRPr="0002011D">
                    <w:t>Versicherungs- und Finanzanlagenprozesse</w:t>
                  </w:r>
                </w:p>
                <w:p w14:paraId="6E724FB1" w14:textId="78DC4533" w:rsidR="00FF32F3" w:rsidRPr="00FF53F1" w:rsidRDefault="00FF32F3" w:rsidP="00443C6C">
                  <w:pPr>
                    <w:pStyle w:val="Tabellentext"/>
                    <w:tabs>
                      <w:tab w:val="left" w:pos="2352"/>
                      <w:tab w:val="left" w:pos="2427"/>
                    </w:tabs>
                    <w:spacing w:before="60" w:after="60"/>
                    <w:ind w:left="2413" w:hanging="2413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293124">
                    <w:rPr>
                      <w:b/>
                    </w:rPr>
                    <w:t>10</w:t>
                  </w:r>
                  <w:r w:rsidR="006E2B0D">
                    <w:t>:</w:t>
                  </w:r>
                  <w:r w:rsidR="00293124">
                    <w:tab/>
                    <w:t xml:space="preserve">Kunden im Bedarfsfeld Finanzanlagen beraten </w:t>
                  </w:r>
                  <w:r w:rsidR="00EB319C">
                    <w:t>(60 UStd.)</w:t>
                  </w:r>
                </w:p>
                <w:p w14:paraId="3268281F" w14:textId="5BE8289F" w:rsidR="00FF32F3" w:rsidRPr="00FF53F1" w:rsidRDefault="00FF32F3" w:rsidP="00443C6C">
                  <w:pPr>
                    <w:pStyle w:val="Tabellentext"/>
                    <w:tabs>
                      <w:tab w:val="left" w:pos="2352"/>
                    </w:tabs>
                    <w:spacing w:before="60" w:after="60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6E2B0D">
                    <w:rPr>
                      <w:b/>
                    </w:rPr>
                    <w:t>10.</w:t>
                  </w:r>
                  <w:r w:rsidR="00293124">
                    <w:rPr>
                      <w:b/>
                    </w:rPr>
                    <w:t>1</w:t>
                  </w:r>
                  <w:r w:rsidR="000D5E2D">
                    <w:t>:</w:t>
                  </w:r>
                  <w:r w:rsidR="00443C6C">
                    <w:tab/>
                  </w:r>
                  <w:r w:rsidR="00293124">
                    <w:t>Rechtliche Grundlagen der Finanzanlagenberatung und –</w:t>
                  </w:r>
                  <w:proofErr w:type="spellStart"/>
                  <w:r w:rsidR="00293124">
                    <w:t>vermittlung</w:t>
                  </w:r>
                  <w:proofErr w:type="spellEnd"/>
                  <w:r w:rsidR="00293124">
                    <w:t xml:space="preserve"> sowie d</w:t>
                  </w:r>
                  <w:r w:rsidR="00C47C32">
                    <w:t>er</w:t>
                  </w:r>
                  <w:r w:rsidR="00293124">
                    <w:t xml:space="preserve"> Honorar-Finanzanlagenberatung </w:t>
                  </w:r>
                  <w:r w:rsidR="00EB319C">
                    <w:t>(4</w:t>
                  </w:r>
                  <w:r w:rsidR="00EB319C" w:rsidRPr="00FF53F1">
                    <w:t xml:space="preserve"> UStd.)</w:t>
                  </w:r>
                </w:p>
              </w:tc>
            </w:tr>
            <w:tr w:rsidR="00FF32F3" w:rsidRPr="00FF53F1" w14:paraId="7E36EA81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588FD965" w14:textId="535B2F7E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2193DDF9" w14:textId="7A085B8A" w:rsidR="00FF32F3" w:rsidRPr="00FF53F1" w:rsidRDefault="00293124" w:rsidP="00FF32F3">
                  <w:pPr>
                    <w:pStyle w:val="Tabellentext"/>
                    <w:spacing w:before="0"/>
                  </w:pPr>
                  <w:r>
                    <w:t xml:space="preserve">In einem Zeitschriftenartikel wird aufgeführt, dass die </w:t>
                  </w:r>
                  <w:r w:rsidR="00FE16BB">
                    <w:t xml:space="preserve">Kundinnen und </w:t>
                  </w:r>
                  <w:r>
                    <w:t xml:space="preserve">Kunden des Telekom-Skandals (oder </w:t>
                  </w:r>
                  <w:proofErr w:type="spellStart"/>
                  <w:r>
                    <w:t>Wirecard</w:t>
                  </w:r>
                  <w:proofErr w:type="spellEnd"/>
                  <w:r>
                    <w:t xml:space="preserve">) entschädigt werden müssen, da das Produktdatenblatt fehlerhaft war. </w:t>
                  </w:r>
                </w:p>
                <w:p w14:paraId="40B74A9C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52B62281" w14:textId="77777777" w:rsidR="00FF32F3" w:rsidRDefault="00FF32F3" w:rsidP="000A0881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305694EB" w14:textId="505EE378" w:rsidR="000A0881" w:rsidRDefault="000A0881" w:rsidP="00443C6C">
                  <w:pPr>
                    <w:pStyle w:val="Tabellenspiegelstrich"/>
                    <w:rPr>
                      <w:b/>
                    </w:rPr>
                  </w:pPr>
                  <w:r>
                    <w:t>Kundenberatungsmappe zu den rechtlichen Grundlagen</w:t>
                  </w:r>
                </w:p>
                <w:p w14:paraId="049BBDFC" w14:textId="0317CC1A" w:rsidR="000A0881" w:rsidRDefault="000A0881" w:rsidP="00443C6C">
                  <w:pPr>
                    <w:pStyle w:val="Tabellenspiegelstrich"/>
                    <w:rPr>
                      <w:b/>
                    </w:rPr>
                  </w:pPr>
                  <w:r>
                    <w:t>Übersicht: Wer darf beraten? Wer darf welche Produkte vermitteln?</w:t>
                  </w:r>
                </w:p>
                <w:p w14:paraId="189D982B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70E376CB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0712FB14" w14:textId="3D2FB4B3" w:rsidR="00FF32F3" w:rsidRPr="00443C6C" w:rsidRDefault="000A0881" w:rsidP="00443C6C">
                  <w:pPr>
                    <w:pStyle w:val="Tabellenberschrift"/>
                    <w:rPr>
                      <w:b w:val="0"/>
                    </w:rPr>
                  </w:pPr>
                  <w:r>
                    <w:rPr>
                      <w:b w:val="0"/>
                    </w:rPr>
                    <w:t>Kundenberatungsmappe</w:t>
                  </w:r>
                </w:p>
              </w:tc>
            </w:tr>
            <w:tr w:rsidR="00FF32F3" w:rsidRPr="00FF53F1" w14:paraId="74D1BD17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1BCF589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7C857655" w14:textId="63496036" w:rsidR="00FF32F3" w:rsidRPr="00FF53F1" w:rsidRDefault="00293124" w:rsidP="00293124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 xml:space="preserve">Die Schülerinnen und Schüler </w:t>
                  </w:r>
                </w:p>
                <w:p w14:paraId="27199BE8" w14:textId="2482274D" w:rsidR="00FF32F3" w:rsidRDefault="00293124" w:rsidP="00FF32F3">
                  <w:pPr>
                    <w:pStyle w:val="Tabellenspiegelstrich"/>
                  </w:pPr>
                  <w:r>
                    <w:t xml:space="preserve">informieren sich über die rechtlichen Grundlagen der Finanzanlageberatung und </w:t>
                  </w:r>
                  <w:r w:rsidR="00C47C32">
                    <w:t>–</w:t>
                  </w:r>
                  <w:proofErr w:type="spellStart"/>
                  <w:r>
                    <w:t>vermittlung</w:t>
                  </w:r>
                  <w:proofErr w:type="spellEnd"/>
                  <w:r w:rsidR="00C47C32">
                    <w:t>.</w:t>
                  </w:r>
                </w:p>
                <w:p w14:paraId="1C7EE508" w14:textId="302A77BC" w:rsidR="00293124" w:rsidRDefault="00293124" w:rsidP="00FF32F3">
                  <w:pPr>
                    <w:pStyle w:val="Tabellenspiegelstrich"/>
                  </w:pPr>
                  <w:r>
                    <w:t>informieren sich über die Honorar-Finanzanlagenberatung</w:t>
                  </w:r>
                  <w:r w:rsidR="00C47C32">
                    <w:t>.</w:t>
                  </w:r>
                </w:p>
                <w:p w14:paraId="4B251DE7" w14:textId="68403B11" w:rsidR="00293124" w:rsidRPr="000A0881" w:rsidRDefault="00293124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0A0881">
                    <w:rPr>
                      <w:rFonts w:eastAsia="Times New Roman"/>
                      <w:color w:val="007EC5"/>
                    </w:rPr>
                    <w:t>stellen die Inhalte kundengerecht dar</w:t>
                  </w:r>
                  <w:r w:rsidR="00C47C32">
                    <w:rPr>
                      <w:rFonts w:eastAsia="Times New Roman"/>
                      <w:color w:val="007EC5"/>
                    </w:rPr>
                    <w:t>.</w:t>
                  </w:r>
                </w:p>
                <w:p w14:paraId="69F8F105" w14:textId="0326D7DE" w:rsidR="00293124" w:rsidRPr="00FF53F1" w:rsidRDefault="000A0881" w:rsidP="00FF32F3">
                  <w:pPr>
                    <w:pStyle w:val="Tabellenspiegelstrich"/>
                  </w:pPr>
                  <w:r>
                    <w:t>benutzen Gesetzesbücher</w:t>
                  </w:r>
                  <w:r w:rsidR="00D41273">
                    <w:t>,</w:t>
                  </w:r>
                  <w:r>
                    <w:t xml:space="preserve"> um Gesetzesauszüge zu verstehen und anzuwenden. </w:t>
                  </w:r>
                </w:p>
              </w:tc>
              <w:tc>
                <w:tcPr>
                  <w:tcW w:w="7273" w:type="dxa"/>
                </w:tcPr>
                <w:p w14:paraId="0E433F4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44E08228" w14:textId="04340737" w:rsidR="000A0881" w:rsidRDefault="000A0881" w:rsidP="000A0881">
                  <w:pPr>
                    <w:pStyle w:val="Tabellenspiegelstrich"/>
                  </w:pPr>
                  <w:r>
                    <w:t>die Gewerbeordnung</w:t>
                  </w:r>
                </w:p>
                <w:p w14:paraId="73EE04CE" w14:textId="5B0578DC" w:rsidR="000A0881" w:rsidRDefault="000A0881" w:rsidP="000A0881">
                  <w:pPr>
                    <w:pStyle w:val="Tabellenspiegelstrich"/>
                  </w:pPr>
                  <w:r>
                    <w:t>die Finanzanlagenvermittlungsverordnung</w:t>
                  </w:r>
                </w:p>
                <w:p w14:paraId="0D3B4F98" w14:textId="7BFA8360" w:rsidR="000A0881" w:rsidRDefault="000A0881" w:rsidP="000A0881">
                  <w:pPr>
                    <w:pStyle w:val="Tabellenspiegelstrich"/>
                  </w:pPr>
                  <w:r>
                    <w:t>das Wertpapierhandelsgesetz</w:t>
                  </w:r>
                </w:p>
                <w:p w14:paraId="37693E54" w14:textId="548EE745" w:rsidR="000A0881" w:rsidRDefault="000A0881" w:rsidP="000A0881">
                  <w:pPr>
                    <w:pStyle w:val="Tabellenspiegelstrich"/>
                  </w:pPr>
                  <w:r>
                    <w:t>das Kapitalanlagegesetzbuch</w:t>
                  </w:r>
                </w:p>
                <w:p w14:paraId="5B88FAA0" w14:textId="094B2367" w:rsidR="000A0881" w:rsidRDefault="000A0881" w:rsidP="000A0881">
                  <w:pPr>
                    <w:pStyle w:val="Tabellenspiegelstrich"/>
                  </w:pPr>
                  <w:r>
                    <w:t>das Geldwäschegesetz</w:t>
                  </w:r>
                </w:p>
                <w:p w14:paraId="3103AB5C" w14:textId="77777777" w:rsidR="00FF32F3" w:rsidRPr="00FF53F1" w:rsidRDefault="00FF32F3" w:rsidP="000A0881">
                  <w:pPr>
                    <w:pStyle w:val="Tabellenspiegelstrich"/>
                    <w:numPr>
                      <w:ilvl w:val="0"/>
                      <w:numId w:val="0"/>
                    </w:numPr>
                    <w:ind w:left="340"/>
                  </w:pPr>
                </w:p>
              </w:tc>
            </w:tr>
            <w:tr w:rsidR="00FF32F3" w:rsidRPr="00FF53F1" w14:paraId="3B8939D4" w14:textId="77777777" w:rsidTr="00443C6C">
              <w:tc>
                <w:tcPr>
                  <w:tcW w:w="14572" w:type="dxa"/>
                  <w:gridSpan w:val="2"/>
                </w:tcPr>
                <w:p w14:paraId="2D4FFEF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70F40019" w14:textId="03011B1A" w:rsidR="00FF32F3" w:rsidRPr="00FF53F1" w:rsidRDefault="000A0881" w:rsidP="00443C6C">
                  <w:pPr>
                    <w:pStyle w:val="Tabellentext"/>
                    <w:spacing w:before="0"/>
                  </w:pPr>
                  <w:r>
                    <w:t xml:space="preserve">Kollaboratives Erarbeiten der Kundenberatungsmappen </w:t>
                  </w:r>
                  <w:r w:rsidR="00D41273">
                    <w:t xml:space="preserve">mit einem Textverarbeitungsprogramm, z. B. </w:t>
                  </w:r>
                  <w:r>
                    <w:t>Word</w:t>
                  </w:r>
                </w:p>
                <w:p w14:paraId="5BB4A0CA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723448AA" w14:textId="77777777" w:rsidTr="00443C6C">
              <w:tc>
                <w:tcPr>
                  <w:tcW w:w="14572" w:type="dxa"/>
                  <w:gridSpan w:val="2"/>
                </w:tcPr>
                <w:p w14:paraId="1A7C48B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2CFD7D80" w14:textId="77777777" w:rsidR="00FF32F3" w:rsidRPr="00FF53F1" w:rsidRDefault="000A0881" w:rsidP="00443C6C">
                  <w:pPr>
                    <w:pStyle w:val="Tabellentext"/>
                    <w:spacing w:before="0"/>
                  </w:pPr>
                  <w:r>
                    <w:t>Gesetzestexte aus den o. g. Gesetzen und Verordnungen</w:t>
                  </w:r>
                </w:p>
                <w:p w14:paraId="13C4711E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37D2115C" w14:textId="77777777" w:rsidTr="00443C6C">
              <w:tc>
                <w:tcPr>
                  <w:tcW w:w="14572" w:type="dxa"/>
                  <w:gridSpan w:val="2"/>
                </w:tcPr>
                <w:p w14:paraId="5AD48782" w14:textId="77777777" w:rsidR="00FF32F3" w:rsidRPr="000A088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265F79D8" w14:textId="36B49002" w:rsidR="00FF32F3" w:rsidRPr="00FF53F1" w:rsidRDefault="00FF32F3">
                  <w:pPr>
                    <w:pStyle w:val="Tabellentext"/>
                    <w:spacing w:before="0"/>
                  </w:pPr>
                  <w:r w:rsidRPr="000A0881">
                    <w:t>z. B.</w:t>
                  </w:r>
                  <w:r w:rsidR="000A0881" w:rsidRPr="000A0881">
                    <w:t xml:space="preserve"> Computerraum</w:t>
                  </w:r>
                  <w:r w:rsidRPr="000A0881">
                    <w:t xml:space="preserve">, </w:t>
                  </w:r>
                  <w:r w:rsidR="000A0881" w:rsidRPr="000A0881">
                    <w:t>Gesetzestexte vom DTV</w:t>
                  </w:r>
                  <w:r w:rsidR="000A0881">
                    <w:t xml:space="preserve"> (VersR) </w:t>
                  </w:r>
                </w:p>
              </w:tc>
            </w:tr>
          </w:tbl>
          <w:p w14:paraId="10F0D19D" w14:textId="77777777" w:rsidR="00FF32F3" w:rsidRDefault="00FF32F3" w:rsidP="00FF32F3"/>
        </w:tc>
      </w:tr>
    </w:tbl>
    <w:p w14:paraId="5E99FA82" w14:textId="77777777" w:rsidR="005F408F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  <w:bookmarkStart w:id="0" w:name="_GoBack"/>
      <w:bookmarkEnd w:id="0"/>
    </w:p>
    <w:sectPr w:rsidR="005F408F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0833" w14:textId="77777777" w:rsidR="007D36E7" w:rsidRDefault="007D36E7">
      <w:r>
        <w:separator/>
      </w:r>
    </w:p>
    <w:p w14:paraId="04FE4C12" w14:textId="77777777" w:rsidR="007D36E7" w:rsidRDefault="007D36E7"/>
    <w:p w14:paraId="2AB90337" w14:textId="77777777" w:rsidR="007D36E7" w:rsidRDefault="007D36E7"/>
  </w:endnote>
  <w:endnote w:type="continuationSeparator" w:id="0">
    <w:p w14:paraId="70F6B443" w14:textId="77777777" w:rsidR="007D36E7" w:rsidRDefault="007D36E7">
      <w:r>
        <w:continuationSeparator/>
      </w:r>
    </w:p>
    <w:p w14:paraId="436E68EC" w14:textId="77777777" w:rsidR="007D36E7" w:rsidRDefault="007D36E7"/>
    <w:p w14:paraId="7DBC05DD" w14:textId="77777777" w:rsidR="007D36E7" w:rsidRDefault="007D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228B" w14:textId="64821B12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02011D">
      <w:rPr>
        <w:noProof/>
      </w:rPr>
      <w:t>1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02011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7D32" w14:textId="77777777" w:rsidR="007D36E7" w:rsidRDefault="007D36E7">
      <w:r>
        <w:separator/>
      </w:r>
    </w:p>
  </w:footnote>
  <w:footnote w:type="continuationSeparator" w:id="0">
    <w:p w14:paraId="5F1D46DD" w14:textId="77777777" w:rsidR="007D36E7" w:rsidRDefault="007D36E7">
      <w:r>
        <w:continuationSeparator/>
      </w:r>
    </w:p>
    <w:p w14:paraId="01347EB4" w14:textId="77777777" w:rsidR="007D36E7" w:rsidRDefault="007D36E7"/>
    <w:p w14:paraId="55ED80E0" w14:textId="77777777" w:rsidR="007D36E7" w:rsidRDefault="007D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7335" w14:textId="759896F9" w:rsidR="005F408F" w:rsidRPr="00DA5F6E" w:rsidRDefault="00C47C32" w:rsidP="00DA5F6E">
    <w:pPr>
      <w:pStyle w:val="berschrift2"/>
      <w:numPr>
        <w:ilvl w:val="0"/>
        <w:numId w:val="0"/>
      </w:numPr>
      <w:spacing w:before="0" w:after="0"/>
      <w:rPr>
        <w:sz w:val="24"/>
        <w:szCs w:val="24"/>
      </w:rPr>
    </w:pPr>
    <w:r w:rsidRPr="00DA5F6E">
      <w:rPr>
        <w:sz w:val="24"/>
        <w:szCs w:val="24"/>
      </w:rPr>
      <w:t>Kauffrau</w:t>
    </w:r>
    <w:r w:rsidR="00DA5F6E" w:rsidRPr="00DA5F6E">
      <w:rPr>
        <w:sz w:val="24"/>
        <w:szCs w:val="24"/>
      </w:rPr>
      <w:t xml:space="preserve"> für Versicherungen und Finanzanlagen und </w:t>
    </w:r>
    <w:r w:rsidRPr="00DA5F6E">
      <w:rPr>
        <w:sz w:val="24"/>
        <w:szCs w:val="24"/>
      </w:rPr>
      <w:t>Kaufmann</w:t>
    </w:r>
    <w:r w:rsidR="00DA5F6E" w:rsidRPr="00DA5F6E">
      <w:rPr>
        <w:sz w:val="24"/>
        <w:szCs w:val="24"/>
      </w:rPr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91171A"/>
    <w:multiLevelType w:val="hybridMultilevel"/>
    <w:tmpl w:val="3F6C8F84"/>
    <w:lvl w:ilvl="0" w:tplc="3132CDCA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8E3A14"/>
    <w:multiLevelType w:val="hybridMultilevel"/>
    <w:tmpl w:val="7FE055C2"/>
    <w:lvl w:ilvl="0" w:tplc="AFF855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9572B6"/>
    <w:multiLevelType w:val="hybridMultilevel"/>
    <w:tmpl w:val="451C924A"/>
    <w:lvl w:ilvl="0" w:tplc="C96CEF8A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16"/>
  </w:num>
  <w:num w:numId="26">
    <w:abstractNumId w:val="23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11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7BE8"/>
    <w:rsid w:val="00091631"/>
    <w:rsid w:val="00092E8B"/>
    <w:rsid w:val="0009333C"/>
    <w:rsid w:val="00095165"/>
    <w:rsid w:val="00096A7F"/>
    <w:rsid w:val="000979A2"/>
    <w:rsid w:val="000A01F1"/>
    <w:rsid w:val="000A0881"/>
    <w:rsid w:val="000A1794"/>
    <w:rsid w:val="000A2582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5E2D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58E6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17F3B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C6C34"/>
    <w:rsid w:val="001D0CEA"/>
    <w:rsid w:val="001D2A52"/>
    <w:rsid w:val="001D71C5"/>
    <w:rsid w:val="001E01A7"/>
    <w:rsid w:val="001E6496"/>
    <w:rsid w:val="001E73CF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124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1D1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788"/>
    <w:rsid w:val="00336E6E"/>
    <w:rsid w:val="0033764D"/>
    <w:rsid w:val="003423C3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61D5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7605"/>
    <w:rsid w:val="00432AA7"/>
    <w:rsid w:val="00433E5D"/>
    <w:rsid w:val="00435451"/>
    <w:rsid w:val="004358C2"/>
    <w:rsid w:val="00436D90"/>
    <w:rsid w:val="00443C6C"/>
    <w:rsid w:val="00446399"/>
    <w:rsid w:val="00446584"/>
    <w:rsid w:val="0045006B"/>
    <w:rsid w:val="00451D3D"/>
    <w:rsid w:val="004530EC"/>
    <w:rsid w:val="00456362"/>
    <w:rsid w:val="00457CC9"/>
    <w:rsid w:val="00461798"/>
    <w:rsid w:val="00461EE5"/>
    <w:rsid w:val="00462E89"/>
    <w:rsid w:val="00463147"/>
    <w:rsid w:val="00464089"/>
    <w:rsid w:val="00464628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73D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50B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412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582"/>
    <w:rsid w:val="0065026B"/>
    <w:rsid w:val="006514E2"/>
    <w:rsid w:val="00651B09"/>
    <w:rsid w:val="00651DBC"/>
    <w:rsid w:val="00651E17"/>
    <w:rsid w:val="006523A2"/>
    <w:rsid w:val="00654B5D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B0D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344F"/>
    <w:rsid w:val="007C4273"/>
    <w:rsid w:val="007C43E5"/>
    <w:rsid w:val="007C6352"/>
    <w:rsid w:val="007C76C2"/>
    <w:rsid w:val="007D192B"/>
    <w:rsid w:val="007D36E7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2A34"/>
    <w:rsid w:val="008A3B14"/>
    <w:rsid w:val="008A3F3A"/>
    <w:rsid w:val="008A50EB"/>
    <w:rsid w:val="008A580D"/>
    <w:rsid w:val="008B06EF"/>
    <w:rsid w:val="008B2313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6DC"/>
    <w:rsid w:val="00967195"/>
    <w:rsid w:val="00967E19"/>
    <w:rsid w:val="00970940"/>
    <w:rsid w:val="009710FB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1FE0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3D8D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26B6C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1D4"/>
    <w:rsid w:val="00B47426"/>
    <w:rsid w:val="00B47719"/>
    <w:rsid w:val="00B47C1F"/>
    <w:rsid w:val="00B5081B"/>
    <w:rsid w:val="00B5119E"/>
    <w:rsid w:val="00B52D95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4CE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57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992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C32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567B"/>
    <w:rsid w:val="00D273A4"/>
    <w:rsid w:val="00D314F7"/>
    <w:rsid w:val="00D34860"/>
    <w:rsid w:val="00D369D2"/>
    <w:rsid w:val="00D36C11"/>
    <w:rsid w:val="00D36CEB"/>
    <w:rsid w:val="00D41273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5F6E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825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3D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442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19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08B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586"/>
    <w:rsid w:val="00FB6E61"/>
    <w:rsid w:val="00FB7105"/>
    <w:rsid w:val="00FB782E"/>
    <w:rsid w:val="00FC1C27"/>
    <w:rsid w:val="00FC3BB3"/>
    <w:rsid w:val="00FC3CC3"/>
    <w:rsid w:val="00FC4AAA"/>
    <w:rsid w:val="00FD43FA"/>
    <w:rsid w:val="00FD5965"/>
    <w:rsid w:val="00FD63EA"/>
    <w:rsid w:val="00FD7317"/>
    <w:rsid w:val="00FE0255"/>
    <w:rsid w:val="00FE085D"/>
    <w:rsid w:val="00FE0C97"/>
    <w:rsid w:val="00FE16BB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E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3F6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2022-03-08T14:14:00Z</dcterms:created>
  <dcterms:modified xsi:type="dcterms:W3CDTF">2022-03-10T13:04:00Z</dcterms:modified>
</cp:coreProperties>
</file>