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10FC3" w14:textId="25DB31EE"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A07F0A">
        <w:rPr>
          <w:b/>
          <w:bCs/>
          <w:sz w:val="28"/>
          <w:szCs w:val="28"/>
        </w:rPr>
        <w:t>7</w:t>
      </w:r>
      <w:r w:rsidR="00B603A0">
        <w:rPr>
          <w:b/>
          <w:bCs/>
          <w:sz w:val="28"/>
          <w:szCs w:val="28"/>
        </w:rPr>
        <w:t xml:space="preserve">: </w:t>
      </w:r>
      <w:r w:rsidR="00A07F0A">
        <w:rPr>
          <w:b/>
          <w:bCs/>
          <w:sz w:val="28"/>
          <w:szCs w:val="28"/>
        </w:rPr>
        <w:t>Kunden im Bedarfsfeld Arbeitskraft beraten</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5534"/>
        <w:gridCol w:w="1560"/>
        <w:gridCol w:w="6780"/>
      </w:tblGrid>
      <w:tr w:rsidR="005F408F" w:rsidRPr="00CA1D31" w14:paraId="1994EC6A" w14:textId="77777777" w:rsidTr="003E7DB7">
        <w:trPr>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14:paraId="7C366DD9" w14:textId="77777777" w:rsidR="005F408F" w:rsidRPr="00850CC4" w:rsidRDefault="005F408F" w:rsidP="003E7DB7">
            <w:pPr>
              <w:spacing w:before="0" w:after="0"/>
              <w:jc w:val="left"/>
              <w:rPr>
                <w:b/>
                <w:bCs/>
              </w:rPr>
            </w:pPr>
            <w:r w:rsidRPr="00850CC4">
              <w:rPr>
                <w:b/>
                <w:bCs/>
              </w:rPr>
              <w:t>Nr.</w:t>
            </w:r>
          </w:p>
        </w:tc>
        <w:tc>
          <w:tcPr>
            <w:tcW w:w="5534" w:type="dxa"/>
            <w:tcBorders>
              <w:top w:val="single" w:sz="4" w:space="0" w:color="auto"/>
              <w:left w:val="single" w:sz="4" w:space="0" w:color="auto"/>
              <w:bottom w:val="single" w:sz="4" w:space="0" w:color="auto"/>
              <w:right w:val="single" w:sz="4" w:space="0" w:color="auto"/>
            </w:tcBorders>
            <w:vAlign w:val="center"/>
          </w:tcPr>
          <w:p w14:paraId="4F211F02" w14:textId="77777777" w:rsidR="005F408F" w:rsidRPr="00850CC4" w:rsidRDefault="005F408F" w:rsidP="003E7DB7">
            <w:pPr>
              <w:spacing w:before="0" w:after="0"/>
              <w:jc w:val="left"/>
              <w:rPr>
                <w:b/>
                <w:bCs/>
              </w:rPr>
            </w:pPr>
            <w:r w:rsidRPr="00850CC4">
              <w:rPr>
                <w:b/>
                <w:bCs/>
              </w:rPr>
              <w:t>Abfolge</w:t>
            </w:r>
            <w:r w:rsidR="00462E89">
              <w:rPr>
                <w:b/>
                <w:bCs/>
              </w:rPr>
              <w:t>/Bezeichnung</w:t>
            </w:r>
            <w:r w:rsidRPr="00850CC4">
              <w:rPr>
                <w:b/>
                <w:bCs/>
              </w:rPr>
              <w:t xml:space="preserve"> der Lernsituationen </w:t>
            </w:r>
          </w:p>
        </w:tc>
        <w:tc>
          <w:tcPr>
            <w:tcW w:w="1560" w:type="dxa"/>
            <w:tcBorders>
              <w:top w:val="single" w:sz="4" w:space="0" w:color="auto"/>
              <w:left w:val="single" w:sz="4" w:space="0" w:color="auto"/>
              <w:bottom w:val="single" w:sz="4" w:space="0" w:color="auto"/>
              <w:right w:val="single" w:sz="4" w:space="0" w:color="auto"/>
            </w:tcBorders>
            <w:vAlign w:val="center"/>
          </w:tcPr>
          <w:p w14:paraId="44AF6F43" w14:textId="77777777" w:rsidR="005F408F" w:rsidRPr="00850CC4" w:rsidRDefault="005F408F" w:rsidP="003E7DB7">
            <w:pPr>
              <w:spacing w:before="0" w:after="0"/>
              <w:jc w:val="left"/>
              <w:rPr>
                <w:b/>
                <w:bCs/>
              </w:rPr>
            </w:pPr>
            <w:r w:rsidRPr="00850CC4">
              <w:rPr>
                <w:b/>
                <w:bCs/>
              </w:rPr>
              <w:t>Zeitrichtwert</w:t>
            </w:r>
          </w:p>
        </w:tc>
        <w:tc>
          <w:tcPr>
            <w:tcW w:w="678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94C2786" w14:textId="77777777" w:rsidR="005F408F" w:rsidRPr="00FF3DAD" w:rsidRDefault="005F408F" w:rsidP="003E7DB7">
            <w:pPr>
              <w:spacing w:before="0" w:after="0"/>
              <w:jc w:val="left"/>
              <w:rPr>
                <w:b/>
                <w:bCs/>
              </w:rPr>
            </w:pPr>
            <w:r w:rsidRPr="00FF3DAD">
              <w:rPr>
                <w:b/>
                <w:bCs/>
              </w:rPr>
              <w:t>Beiträge der Fächer zum Kompetenzerwerb in Abstimmung mit dem jeweiligen Fachlehrplan</w:t>
            </w:r>
          </w:p>
        </w:tc>
      </w:tr>
      <w:tr w:rsidR="005F408F" w:rsidRPr="00850CC4" w14:paraId="69C6B7AB" w14:textId="77777777" w:rsidTr="003E7DB7">
        <w:trPr>
          <w:jc w:val="center"/>
        </w:trPr>
        <w:tc>
          <w:tcPr>
            <w:tcW w:w="698" w:type="dxa"/>
            <w:tcBorders>
              <w:top w:val="single" w:sz="4" w:space="0" w:color="auto"/>
              <w:left w:val="single" w:sz="4" w:space="0" w:color="auto"/>
              <w:bottom w:val="single" w:sz="4" w:space="0" w:color="auto"/>
              <w:right w:val="single" w:sz="4" w:space="0" w:color="auto"/>
            </w:tcBorders>
          </w:tcPr>
          <w:p w14:paraId="013E62D9" w14:textId="5A38F3A3" w:rsidR="005F408F" w:rsidRPr="00850CC4" w:rsidRDefault="00A07F0A" w:rsidP="003E7DB7">
            <w:pPr>
              <w:spacing w:before="0" w:after="0"/>
              <w:jc w:val="left"/>
            </w:pPr>
            <w:r>
              <w:t>7</w:t>
            </w:r>
            <w:r w:rsidR="00462E89">
              <w:t>.1</w:t>
            </w:r>
          </w:p>
        </w:tc>
        <w:tc>
          <w:tcPr>
            <w:tcW w:w="5534" w:type="dxa"/>
            <w:tcBorders>
              <w:top w:val="single" w:sz="4" w:space="0" w:color="auto"/>
              <w:left w:val="single" w:sz="4" w:space="0" w:color="auto"/>
              <w:bottom w:val="single" w:sz="4" w:space="0" w:color="auto"/>
              <w:right w:val="single" w:sz="4" w:space="0" w:color="auto"/>
            </w:tcBorders>
          </w:tcPr>
          <w:p w14:paraId="5162C51F" w14:textId="01837FC8" w:rsidR="005F408F" w:rsidRPr="00850CC4" w:rsidRDefault="00A07F0A" w:rsidP="003E7DB7">
            <w:pPr>
              <w:spacing w:before="0" w:after="0"/>
              <w:jc w:val="left"/>
            </w:pPr>
            <w:r>
              <w:t>Analyse der fallbezogenen Risiken und deren gesetzliche Absicherung</w:t>
            </w:r>
            <w:r w:rsidR="00586F34">
              <w:t xml:space="preserve"> inkl. Ermittlung einer Versorgungslücke</w:t>
            </w:r>
          </w:p>
        </w:tc>
        <w:tc>
          <w:tcPr>
            <w:tcW w:w="1560" w:type="dxa"/>
            <w:tcBorders>
              <w:top w:val="single" w:sz="4" w:space="0" w:color="auto"/>
              <w:left w:val="single" w:sz="4" w:space="0" w:color="auto"/>
              <w:bottom w:val="single" w:sz="4" w:space="0" w:color="auto"/>
              <w:right w:val="single" w:sz="4" w:space="0" w:color="auto"/>
            </w:tcBorders>
          </w:tcPr>
          <w:p w14:paraId="55310922" w14:textId="25FD7356" w:rsidR="005F408F" w:rsidRPr="00850CC4" w:rsidRDefault="001A6680" w:rsidP="003E7DB7">
            <w:pPr>
              <w:spacing w:before="0" w:after="0"/>
              <w:jc w:val="center"/>
            </w:pPr>
            <w:r>
              <w:t>10</w:t>
            </w:r>
            <w:r w:rsidR="00B603A0">
              <w:t xml:space="preserve"> UStd.</w:t>
            </w:r>
          </w:p>
        </w:tc>
        <w:tc>
          <w:tcPr>
            <w:tcW w:w="678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6B6ED80" w14:textId="460FCD18" w:rsidR="00143506" w:rsidRPr="00E8528B" w:rsidRDefault="00143506" w:rsidP="003E7DB7">
            <w:pPr>
              <w:pStyle w:val="StandardWeb"/>
              <w:spacing w:before="0" w:after="0"/>
              <w:rPr>
                <w:rFonts w:ascii="TimesNewRomanPSMT" w:hAnsi="TimesNewRomanPSMT"/>
              </w:rPr>
            </w:pPr>
            <w:r w:rsidRPr="00E8528B">
              <w:rPr>
                <w:rFonts w:ascii="TimesNewRomanPSMT" w:hAnsi="TimesNewRomanPSMT"/>
              </w:rPr>
              <w:t xml:space="preserve">Die </w:t>
            </w:r>
            <w:r w:rsidR="00B126FF" w:rsidRPr="00E8528B">
              <w:rPr>
                <w:rFonts w:ascii="TimesNewRomanPSMT" w:hAnsi="TimesNewRomanPSMT"/>
              </w:rPr>
              <w:t>Schülerinnen</w:t>
            </w:r>
            <w:r w:rsidRPr="00E8528B">
              <w:rPr>
                <w:rFonts w:ascii="TimesNewRomanPSMT" w:hAnsi="TimesNewRomanPSMT"/>
              </w:rPr>
              <w:t xml:space="preserve"> und </w:t>
            </w:r>
            <w:r w:rsidR="0089700C" w:rsidRPr="00E8528B">
              <w:rPr>
                <w:rFonts w:ascii="TimesNewRomanPSMT" w:hAnsi="TimesNewRomanPSMT"/>
              </w:rPr>
              <w:t>Schüler</w:t>
            </w:r>
            <w:r w:rsidRPr="00E8528B">
              <w:rPr>
                <w:rFonts w:ascii="TimesNewRomanPSMT" w:hAnsi="TimesNewRomanPSMT"/>
              </w:rPr>
              <w:t xml:space="preserve"> </w:t>
            </w:r>
            <w:r w:rsidRPr="00E8528B">
              <w:rPr>
                <w:rFonts w:ascii="TimesNewRomanPS" w:hAnsi="TimesNewRomanPS"/>
                <w:b/>
                <w:bCs/>
              </w:rPr>
              <w:t xml:space="preserve">analysieren </w:t>
            </w:r>
            <w:r w:rsidRPr="00E8528B">
              <w:rPr>
                <w:rFonts w:ascii="TimesNewRomanPSMT" w:hAnsi="TimesNewRomanPSMT"/>
              </w:rPr>
              <w:t xml:space="preserve">fallbezogene Risiken im Beruf, in der Schule und in der Freizeit, die die Arbeitskraft der Kundinnen und Kunden </w:t>
            </w:r>
            <w:r w:rsidR="0089700C" w:rsidRPr="00E8528B">
              <w:rPr>
                <w:rFonts w:ascii="TimesNewRomanPSMT" w:hAnsi="TimesNewRomanPSMT"/>
              </w:rPr>
              <w:t>gefährden</w:t>
            </w:r>
            <w:r w:rsidRPr="00E8528B">
              <w:rPr>
                <w:rFonts w:ascii="TimesNewRomanPSMT" w:hAnsi="TimesNewRomanPSMT"/>
              </w:rPr>
              <w:t xml:space="preserve">, und </w:t>
            </w:r>
            <w:r w:rsidRPr="00E8528B">
              <w:rPr>
                <w:rFonts w:ascii="TimesNewRomanPSMT" w:hAnsi="TimesNewRomanPSMT"/>
                <w:b/>
                <w:bCs/>
              </w:rPr>
              <w:t xml:space="preserve">ermitteln </w:t>
            </w:r>
            <w:r w:rsidRPr="000F55CF">
              <w:rPr>
                <w:rFonts w:ascii="TimesNewRomanPSMT" w:hAnsi="TimesNewRomanPSMT"/>
                <w:bCs/>
              </w:rPr>
              <w:t>die Kundenbedarfe</w:t>
            </w:r>
            <w:r w:rsidRPr="00E8528B">
              <w:rPr>
                <w:rFonts w:ascii="TimesNewRomanPSMT" w:hAnsi="TimesNewRomanPSMT"/>
              </w:rPr>
              <w:t xml:space="preserve">. In diesem Zusammenhang </w:t>
            </w:r>
            <w:r w:rsidRPr="00E8528B">
              <w:rPr>
                <w:rFonts w:ascii="TimesNewRomanPSMT" w:hAnsi="TimesNewRomanPSMT"/>
                <w:b/>
                <w:bCs/>
              </w:rPr>
              <w:t>unterscheiden</w:t>
            </w:r>
            <w:r w:rsidRPr="00E8528B">
              <w:rPr>
                <w:rFonts w:ascii="TimesNewRomanPSMT" w:hAnsi="TimesNewRomanPSMT"/>
              </w:rPr>
              <w:t xml:space="preserve"> sie zwischen Arbeits- und </w:t>
            </w:r>
            <w:r w:rsidR="0089700C" w:rsidRPr="00E8528B">
              <w:rPr>
                <w:rFonts w:ascii="TimesNewRomanPSMT" w:hAnsi="TimesNewRomanPSMT"/>
              </w:rPr>
              <w:t>Berufsunfähigkeit</w:t>
            </w:r>
            <w:r w:rsidRPr="00E8528B">
              <w:rPr>
                <w:rFonts w:ascii="TimesNewRomanPSMT" w:hAnsi="TimesNewRomanPSMT"/>
              </w:rPr>
              <w:t xml:space="preserve">, Erwerbsminderung sowie </w:t>
            </w:r>
            <w:r w:rsidR="0089700C" w:rsidRPr="00E8528B">
              <w:rPr>
                <w:rFonts w:ascii="TimesNewRomanPSMT" w:hAnsi="TimesNewRomanPSMT"/>
              </w:rPr>
              <w:t>Invalidität</w:t>
            </w:r>
            <w:r w:rsidRPr="00E8528B">
              <w:rPr>
                <w:rFonts w:ascii="TimesNewRomanPSMT" w:hAnsi="TimesNewRomanPSMT"/>
              </w:rPr>
              <w:t xml:space="preserve"> infolge von </w:t>
            </w:r>
            <w:r w:rsidR="00217562" w:rsidRPr="00E8528B">
              <w:rPr>
                <w:rFonts w:ascii="TimesNewRomanPSMT" w:hAnsi="TimesNewRomanPSMT"/>
              </w:rPr>
              <w:t xml:space="preserve">(Berufs-) </w:t>
            </w:r>
            <w:r w:rsidRPr="00E8528B">
              <w:rPr>
                <w:rFonts w:ascii="TimesNewRomanPSMT" w:hAnsi="TimesNewRomanPSMT"/>
              </w:rPr>
              <w:t xml:space="preserve">Krankheiten und </w:t>
            </w:r>
            <w:r w:rsidR="00217562" w:rsidRPr="00E8528B">
              <w:rPr>
                <w:rFonts w:ascii="TimesNewRomanPSMT" w:hAnsi="TimesNewRomanPSMT"/>
              </w:rPr>
              <w:t>Arbeits-/</w:t>
            </w:r>
            <w:proofErr w:type="spellStart"/>
            <w:r w:rsidR="00217562" w:rsidRPr="00E8528B">
              <w:rPr>
                <w:rFonts w:ascii="TimesNewRomanPSMT" w:hAnsi="TimesNewRomanPSMT"/>
              </w:rPr>
              <w:t>Wegeu</w:t>
            </w:r>
            <w:r w:rsidRPr="00E8528B">
              <w:rPr>
                <w:rFonts w:ascii="TimesNewRomanPSMT" w:hAnsi="TimesNewRomanPSMT"/>
              </w:rPr>
              <w:t>nfällen</w:t>
            </w:r>
            <w:proofErr w:type="spellEnd"/>
            <w:r w:rsidRPr="00E8528B">
              <w:rPr>
                <w:rFonts w:ascii="TimesNewRomanPSMT" w:hAnsi="TimesNewRomanPSMT"/>
              </w:rPr>
              <w:t xml:space="preserve">. </w:t>
            </w:r>
          </w:p>
          <w:p w14:paraId="2E2BB732" w14:textId="28F50CB2" w:rsidR="00217562" w:rsidRPr="00E8528B" w:rsidRDefault="00217562" w:rsidP="003E7DB7">
            <w:pPr>
              <w:pStyle w:val="StandardWeb"/>
              <w:spacing w:before="0" w:after="0"/>
              <w:rPr>
                <w:rFonts w:ascii="TimesNewRomanPSMT" w:hAnsi="TimesNewRomanPSMT"/>
              </w:rPr>
            </w:pPr>
            <w:r w:rsidRPr="00E8528B">
              <w:rPr>
                <w:rFonts w:ascii="TimesNewRomanPSMT" w:hAnsi="TimesNewRomanPSMT"/>
              </w:rPr>
              <w:t xml:space="preserve">Hierbei </w:t>
            </w:r>
            <w:r w:rsidRPr="00E8528B">
              <w:rPr>
                <w:rFonts w:ascii="TimesNewRomanPSMT" w:hAnsi="TimesNewRomanPSMT"/>
                <w:b/>
                <w:bCs/>
              </w:rPr>
              <w:t>informieren</w:t>
            </w:r>
            <w:r w:rsidRPr="00E8528B">
              <w:rPr>
                <w:rFonts w:ascii="TimesNewRomanPSMT" w:hAnsi="TimesNewRomanPSMT"/>
              </w:rPr>
              <w:t xml:space="preserve"> sich die </w:t>
            </w:r>
            <w:proofErr w:type="spellStart"/>
            <w:r w:rsidRPr="00E8528B">
              <w:rPr>
                <w:rFonts w:ascii="TimesNewRomanPSMT" w:hAnsi="TimesNewRomanPSMT"/>
              </w:rPr>
              <w:t>Schülerinnen</w:t>
            </w:r>
            <w:proofErr w:type="spellEnd"/>
            <w:r w:rsidRPr="00E8528B">
              <w:rPr>
                <w:rFonts w:ascii="TimesNewRomanPSMT" w:hAnsi="TimesNewRomanPSMT"/>
              </w:rPr>
              <w:t xml:space="preserve"> und </w:t>
            </w:r>
            <w:proofErr w:type="spellStart"/>
            <w:r w:rsidRPr="00E8528B">
              <w:rPr>
                <w:rFonts w:ascii="TimesNewRomanPSMT" w:hAnsi="TimesNewRomanPSMT"/>
              </w:rPr>
              <w:t>Schüler</w:t>
            </w:r>
            <w:proofErr w:type="spellEnd"/>
            <w:r w:rsidRPr="00E8528B">
              <w:rPr>
                <w:rFonts w:ascii="TimesNewRomanPSMT" w:hAnsi="TimesNewRomanPSMT"/>
              </w:rPr>
              <w:t xml:space="preserve"> in den entsprechenden Rechtsgrundlagen (</w:t>
            </w:r>
            <w:r w:rsidRPr="00E8528B">
              <w:rPr>
                <w:rFonts w:ascii="TimesNewRomanPS" w:hAnsi="TimesNewRomanPS"/>
              </w:rPr>
              <w:t>Sozialgesetzbuch)</w:t>
            </w:r>
            <w:r w:rsidR="00FE2282" w:rsidRPr="00E8528B">
              <w:rPr>
                <w:rFonts w:ascii="TimesNewRomanPS" w:hAnsi="TimesNewRomanPS"/>
              </w:rPr>
              <w:t>, berechnen zumindest grob die Leistungen und ermitteln Versorgungslücken.</w:t>
            </w:r>
          </w:p>
          <w:p w14:paraId="55383E9C" w14:textId="02010211" w:rsidR="005F408F" w:rsidRPr="00850CC4" w:rsidRDefault="00970289" w:rsidP="003E7DB7">
            <w:pPr>
              <w:pStyle w:val="StandardWeb"/>
              <w:spacing w:before="0" w:after="0"/>
            </w:pPr>
            <w:r>
              <w:rPr>
                <w:rFonts w:ascii="TimesNewRomanPSMT" w:hAnsi="TimesNewRomanPSMT"/>
              </w:rPr>
              <w:t xml:space="preserve">Sie erfassen </w:t>
            </w:r>
            <w:r w:rsidR="00453420" w:rsidRPr="00E8528B">
              <w:rPr>
                <w:rFonts w:ascii="TimesNewRomanPSMT" w:hAnsi="TimesNewRomanPSMT"/>
              </w:rPr>
              <w:t>von</w:t>
            </w:r>
            <w:r w:rsidR="00143506" w:rsidRPr="00E8528B">
              <w:rPr>
                <w:rFonts w:ascii="TimesNewRomanPSMT" w:hAnsi="TimesNewRomanPSMT"/>
              </w:rPr>
              <w:t xml:space="preserve"> d</w:t>
            </w:r>
            <w:r w:rsidR="00453420" w:rsidRPr="00E8528B">
              <w:rPr>
                <w:rFonts w:ascii="TimesNewRomanPSMT" w:hAnsi="TimesNewRomanPSMT"/>
              </w:rPr>
              <w:t>en</w:t>
            </w:r>
            <w:r w:rsidR="00143506" w:rsidRPr="00E8528B">
              <w:rPr>
                <w:rFonts w:ascii="TimesNewRomanPSMT" w:hAnsi="TimesNewRomanPSMT"/>
              </w:rPr>
              <w:t xml:space="preserve"> Kundinnen und Kunden und </w:t>
            </w:r>
            <w:r w:rsidR="00453420" w:rsidRPr="00E8528B">
              <w:rPr>
                <w:rFonts w:ascii="TimesNewRomanPSMT" w:hAnsi="TimesNewRomanPSMT"/>
              </w:rPr>
              <w:t>deren</w:t>
            </w:r>
            <w:r w:rsidR="00143506" w:rsidRPr="00E8528B">
              <w:rPr>
                <w:rFonts w:ascii="TimesNewRomanPSMT" w:hAnsi="TimesNewRomanPSMT"/>
              </w:rPr>
              <w:t xml:space="preserve"> </w:t>
            </w:r>
            <w:r w:rsidR="0089700C" w:rsidRPr="00E8528B">
              <w:rPr>
                <w:rFonts w:ascii="TimesNewRomanPSMT" w:hAnsi="TimesNewRomanPSMT"/>
              </w:rPr>
              <w:t>Familienangehörigen</w:t>
            </w:r>
            <w:r w:rsidR="00453420" w:rsidRPr="00E8528B">
              <w:rPr>
                <w:rFonts w:ascii="TimesNewRomanPSMT" w:hAnsi="TimesNewRomanPSMT"/>
              </w:rPr>
              <w:t xml:space="preserve"> </w:t>
            </w:r>
            <w:r w:rsidR="00143506" w:rsidRPr="00E8528B">
              <w:rPr>
                <w:rFonts w:ascii="TimesNewRomanPSMT" w:hAnsi="TimesNewRomanPSMT"/>
              </w:rPr>
              <w:t>risikorelevante Daten (</w:t>
            </w:r>
            <w:proofErr w:type="spellStart"/>
            <w:r w:rsidR="00143506" w:rsidRPr="00E8528B">
              <w:rPr>
                <w:rFonts w:ascii="TimesNewRomanPS" w:hAnsi="TimesNewRomanPS"/>
              </w:rPr>
              <w:t>persönliche</w:t>
            </w:r>
            <w:proofErr w:type="spellEnd"/>
            <w:r w:rsidR="00143506" w:rsidRPr="00E8528B">
              <w:rPr>
                <w:rFonts w:ascii="TimesNewRomanPS" w:hAnsi="TimesNewRomanPS"/>
              </w:rPr>
              <w:t xml:space="preserve"> und berufliche </w:t>
            </w:r>
            <w:r w:rsidR="0089700C" w:rsidRPr="00E8528B">
              <w:rPr>
                <w:rFonts w:ascii="TimesNewRomanPS" w:hAnsi="TimesNewRomanPS"/>
              </w:rPr>
              <w:t>Verhältnisse</w:t>
            </w:r>
            <w:r w:rsidR="00217562" w:rsidRPr="00E8528B">
              <w:rPr>
                <w:rFonts w:ascii="TimesNewRomanPS" w:hAnsi="TimesNewRomanPS"/>
              </w:rPr>
              <w:t>.</w:t>
            </w:r>
          </w:p>
        </w:tc>
      </w:tr>
      <w:tr w:rsidR="005F408F" w:rsidRPr="00850CC4" w14:paraId="7CA94B23" w14:textId="77777777" w:rsidTr="003E7DB7">
        <w:trPr>
          <w:jc w:val="center"/>
        </w:trPr>
        <w:tc>
          <w:tcPr>
            <w:tcW w:w="698" w:type="dxa"/>
            <w:tcBorders>
              <w:top w:val="single" w:sz="4" w:space="0" w:color="auto"/>
              <w:left w:val="single" w:sz="4" w:space="0" w:color="auto"/>
              <w:bottom w:val="single" w:sz="4" w:space="0" w:color="auto"/>
              <w:right w:val="single" w:sz="4" w:space="0" w:color="auto"/>
            </w:tcBorders>
          </w:tcPr>
          <w:p w14:paraId="07810287" w14:textId="11FA9D5E" w:rsidR="005F408F" w:rsidRPr="00850CC4" w:rsidRDefault="00143506" w:rsidP="003E7DB7">
            <w:pPr>
              <w:spacing w:before="0" w:after="0"/>
              <w:jc w:val="left"/>
            </w:pPr>
            <w:r>
              <w:t>7</w:t>
            </w:r>
            <w:r w:rsidR="00462E89">
              <w:t>.2</w:t>
            </w:r>
          </w:p>
        </w:tc>
        <w:tc>
          <w:tcPr>
            <w:tcW w:w="5534" w:type="dxa"/>
            <w:tcBorders>
              <w:top w:val="single" w:sz="4" w:space="0" w:color="auto"/>
              <w:left w:val="single" w:sz="4" w:space="0" w:color="auto"/>
              <w:bottom w:val="single" w:sz="4" w:space="0" w:color="auto"/>
              <w:right w:val="single" w:sz="4" w:space="0" w:color="auto"/>
            </w:tcBorders>
          </w:tcPr>
          <w:p w14:paraId="7B4A9BA1" w14:textId="3C559026" w:rsidR="005F408F" w:rsidRPr="00850CC4" w:rsidRDefault="00586F34" w:rsidP="003E7DB7">
            <w:pPr>
              <w:spacing w:before="0" w:after="0"/>
              <w:jc w:val="left"/>
            </w:pPr>
            <w:r>
              <w:t>Kund</w:t>
            </w:r>
            <w:r w:rsidR="002D20A7">
              <w:t xml:space="preserve">innen und Kunden </w:t>
            </w:r>
            <w:r>
              <w:t xml:space="preserve">zur </w:t>
            </w:r>
            <w:r w:rsidR="00F0618D">
              <w:t>Berufsunfähigkeitsversicherung</w:t>
            </w:r>
            <w:r>
              <w:t xml:space="preserve"> beraten und </w:t>
            </w:r>
            <w:r w:rsidR="002D20A7">
              <w:t xml:space="preserve">ein </w:t>
            </w:r>
            <w:r w:rsidR="00F0618D">
              <w:t>bedarfsgerechtes Angebot erstellen</w:t>
            </w:r>
          </w:p>
        </w:tc>
        <w:tc>
          <w:tcPr>
            <w:tcW w:w="1560" w:type="dxa"/>
            <w:tcBorders>
              <w:top w:val="single" w:sz="4" w:space="0" w:color="auto"/>
              <w:left w:val="single" w:sz="4" w:space="0" w:color="auto"/>
              <w:bottom w:val="single" w:sz="4" w:space="0" w:color="auto"/>
              <w:right w:val="single" w:sz="4" w:space="0" w:color="auto"/>
            </w:tcBorders>
          </w:tcPr>
          <w:p w14:paraId="78415E3B" w14:textId="0833CF06" w:rsidR="005F408F" w:rsidRPr="00850CC4" w:rsidRDefault="00FE2282" w:rsidP="003E7DB7">
            <w:pPr>
              <w:spacing w:before="0" w:after="0"/>
              <w:jc w:val="center"/>
            </w:pPr>
            <w:r>
              <w:t>10</w:t>
            </w:r>
            <w:r w:rsidR="00B603A0">
              <w:t xml:space="preserve"> UStd.</w:t>
            </w:r>
          </w:p>
        </w:tc>
        <w:tc>
          <w:tcPr>
            <w:tcW w:w="6780" w:type="dxa"/>
            <w:tcBorders>
              <w:top w:val="single" w:sz="4" w:space="0" w:color="auto"/>
              <w:left w:val="single" w:sz="4" w:space="0" w:color="auto"/>
              <w:bottom w:val="single" w:sz="4" w:space="0" w:color="auto"/>
              <w:right w:val="single" w:sz="4" w:space="0" w:color="auto"/>
            </w:tcBorders>
            <w:tcMar>
              <w:top w:w="85" w:type="dxa"/>
              <w:bottom w:w="85" w:type="dxa"/>
            </w:tcMar>
          </w:tcPr>
          <w:p w14:paraId="0F9E3BCC" w14:textId="28C35FFD" w:rsidR="00217562" w:rsidRDefault="00970289" w:rsidP="003E7DB7">
            <w:pPr>
              <w:pStyle w:val="StandardWeb"/>
              <w:spacing w:before="0" w:after="0"/>
              <w:rPr>
                <w:rFonts w:ascii="TimesNewRomanPSMT" w:hAnsi="TimesNewRomanPSMT"/>
              </w:rPr>
            </w:pPr>
            <w:r>
              <w:rPr>
                <w:rFonts w:ascii="TimesNewRomanPSMT" w:hAnsi="TimesNewRomanPSMT"/>
              </w:rPr>
              <w:t>Die Schülerinnen und Schüler</w:t>
            </w:r>
            <w:r w:rsidR="00217562">
              <w:rPr>
                <w:rFonts w:ascii="TimesNewRomanPSMT" w:hAnsi="TimesNewRomanPSMT"/>
              </w:rPr>
              <w:t xml:space="preserve"> </w:t>
            </w:r>
            <w:r w:rsidR="00217562" w:rsidRPr="00E8528B">
              <w:rPr>
                <w:rFonts w:ascii="TimesNewRomanPSMT" w:hAnsi="TimesNewRomanPSMT"/>
                <w:b/>
                <w:bCs/>
              </w:rPr>
              <w:t>informieren</w:t>
            </w:r>
            <w:r w:rsidR="00217562">
              <w:rPr>
                <w:rFonts w:ascii="TimesNewRomanPSMT" w:hAnsi="TimesNewRomanPSMT"/>
              </w:rPr>
              <w:t xml:space="preserve"> sich in den entsprechenden Rechtsgrundlagen (</w:t>
            </w:r>
            <w:r w:rsidR="00217562">
              <w:rPr>
                <w:rFonts w:ascii="TimesNewRomanPS" w:hAnsi="TimesNewRomanPS"/>
                <w:i/>
                <w:iCs/>
              </w:rPr>
              <w:t xml:space="preserve">Allgemeine Bedingungen </w:t>
            </w:r>
            <w:r w:rsidR="0089700C">
              <w:rPr>
                <w:rFonts w:ascii="TimesNewRomanPS" w:hAnsi="TimesNewRomanPS"/>
                <w:i/>
                <w:iCs/>
              </w:rPr>
              <w:t>für</w:t>
            </w:r>
            <w:r w:rsidR="00217562">
              <w:rPr>
                <w:rFonts w:ascii="TimesNewRomanPS" w:hAnsi="TimesNewRomanPS"/>
                <w:i/>
                <w:iCs/>
              </w:rPr>
              <w:t xml:space="preserve"> die </w:t>
            </w:r>
            <w:proofErr w:type="spellStart"/>
            <w:r w:rsidR="00217562">
              <w:rPr>
                <w:rFonts w:ascii="TimesNewRomanPS" w:hAnsi="TimesNewRomanPS"/>
                <w:i/>
                <w:iCs/>
              </w:rPr>
              <w:t>Berufsunfähigkeitsversicherung</w:t>
            </w:r>
            <w:proofErr w:type="spellEnd"/>
            <w:r w:rsidR="00217562">
              <w:rPr>
                <w:rFonts w:ascii="TimesNewRomanPSMT" w:hAnsi="TimesNewRomanPSMT"/>
              </w:rPr>
              <w:t>).</w:t>
            </w:r>
          </w:p>
          <w:p w14:paraId="2F9E428D" w14:textId="01AAE62B" w:rsidR="00143506" w:rsidRDefault="00970289" w:rsidP="003E7DB7">
            <w:pPr>
              <w:pStyle w:val="StandardWeb"/>
              <w:spacing w:before="0" w:after="0"/>
            </w:pPr>
            <w:r>
              <w:rPr>
                <w:rFonts w:ascii="TimesNewRomanPSMT" w:hAnsi="TimesNewRomanPSMT"/>
              </w:rPr>
              <w:t>Sie</w:t>
            </w:r>
            <w:r w:rsidR="00143506">
              <w:rPr>
                <w:rFonts w:ascii="TimesNewRomanPSMT" w:hAnsi="TimesNewRomanPSMT"/>
              </w:rPr>
              <w:t xml:space="preserve"> </w:t>
            </w:r>
            <w:r w:rsidR="00143506">
              <w:rPr>
                <w:rFonts w:ascii="TimesNewRomanPS" w:hAnsi="TimesNewRomanPS"/>
                <w:b/>
                <w:bCs/>
              </w:rPr>
              <w:t xml:space="preserve">planen </w:t>
            </w:r>
            <w:r w:rsidR="00143506">
              <w:rPr>
                <w:rFonts w:ascii="TimesNewRomanPSMT" w:hAnsi="TimesNewRomanPSMT"/>
              </w:rPr>
              <w:t xml:space="preserve">spezifische </w:t>
            </w:r>
            <w:proofErr w:type="spellStart"/>
            <w:r w:rsidR="00143506">
              <w:rPr>
                <w:rFonts w:ascii="TimesNewRomanPSMT" w:hAnsi="TimesNewRomanPSMT"/>
              </w:rPr>
              <w:t>Versicherungslösungen</w:t>
            </w:r>
            <w:proofErr w:type="spellEnd"/>
            <w:r w:rsidR="00143506">
              <w:rPr>
                <w:rFonts w:ascii="TimesNewRomanPSMT" w:hAnsi="TimesNewRomanPSMT"/>
              </w:rPr>
              <w:t xml:space="preserve"> </w:t>
            </w:r>
            <w:r w:rsidR="0089700C">
              <w:rPr>
                <w:rFonts w:ascii="TimesNewRomanPSMT" w:hAnsi="TimesNewRomanPSMT"/>
              </w:rPr>
              <w:t>für</w:t>
            </w:r>
            <w:r w:rsidR="00143506">
              <w:rPr>
                <w:rFonts w:ascii="TimesNewRomanPSMT" w:hAnsi="TimesNewRomanPSMT"/>
              </w:rPr>
              <w:t xml:space="preserve"> die Kundinnen und Kunden und </w:t>
            </w:r>
            <w:r>
              <w:rPr>
                <w:rFonts w:ascii="TimesNewRomanPSMT" w:hAnsi="TimesNewRomanPSMT"/>
              </w:rPr>
              <w:t>deren</w:t>
            </w:r>
            <w:r w:rsidR="00143506">
              <w:rPr>
                <w:rFonts w:ascii="TimesNewRomanPSMT" w:hAnsi="TimesNewRomanPSMT"/>
              </w:rPr>
              <w:t xml:space="preserve"> </w:t>
            </w:r>
            <w:r w:rsidR="0089700C">
              <w:rPr>
                <w:rFonts w:ascii="TimesNewRomanPSMT" w:hAnsi="TimesNewRomanPSMT"/>
              </w:rPr>
              <w:t>Familienangehörige,</w:t>
            </w:r>
            <w:r w:rsidR="00453420">
              <w:rPr>
                <w:rFonts w:ascii="TimesNewRomanPSMT" w:hAnsi="TimesNewRomanPSMT"/>
              </w:rPr>
              <w:t xml:space="preserve"> indem sie</w:t>
            </w:r>
            <w:r w:rsidR="00143506">
              <w:rPr>
                <w:rFonts w:ascii="TimesNewRomanPSMT" w:hAnsi="TimesNewRomanPSMT"/>
              </w:rPr>
              <w:t xml:space="preserve"> das Risiko beurteilen und bedarfsgerechte Angebote </w:t>
            </w:r>
            <w:proofErr w:type="spellStart"/>
            <w:r w:rsidR="00143506">
              <w:rPr>
                <w:rFonts w:ascii="TimesNewRomanPSMT" w:hAnsi="TimesNewRomanPSMT"/>
              </w:rPr>
              <w:t>für</w:t>
            </w:r>
            <w:proofErr w:type="spellEnd"/>
            <w:r w:rsidR="00143506">
              <w:rPr>
                <w:rFonts w:ascii="TimesNewRomanPSMT" w:hAnsi="TimesNewRomanPSMT"/>
              </w:rPr>
              <w:t xml:space="preserve"> die </w:t>
            </w:r>
            <w:proofErr w:type="spellStart"/>
            <w:r w:rsidR="00143506">
              <w:rPr>
                <w:rFonts w:ascii="TimesNewRomanPSMT" w:hAnsi="TimesNewRomanPSMT"/>
              </w:rPr>
              <w:t>Berufsunfähigkeitsversicherung</w:t>
            </w:r>
            <w:proofErr w:type="spellEnd"/>
            <w:r w:rsidR="00143506">
              <w:rPr>
                <w:rFonts w:ascii="TimesNewRomanPSMT" w:hAnsi="TimesNewRomanPSMT"/>
              </w:rPr>
              <w:t xml:space="preserve"> (</w:t>
            </w:r>
            <w:proofErr w:type="spellStart"/>
            <w:r w:rsidR="00143506">
              <w:rPr>
                <w:rFonts w:ascii="TimesNewRomanPS" w:hAnsi="TimesNewRomanPS"/>
                <w:i/>
                <w:iCs/>
              </w:rPr>
              <w:t>Berufsunfähigkeitsrente</w:t>
            </w:r>
            <w:proofErr w:type="spellEnd"/>
            <w:r w:rsidR="00143506">
              <w:rPr>
                <w:rFonts w:ascii="TimesNewRomanPSMT" w:hAnsi="TimesNewRomanPSMT"/>
              </w:rPr>
              <w:t xml:space="preserve">) erstellen. Sie ermitteln </w:t>
            </w:r>
            <w:proofErr w:type="spellStart"/>
            <w:r w:rsidR="00143506">
              <w:rPr>
                <w:rFonts w:ascii="TimesNewRomanPSMT" w:hAnsi="TimesNewRomanPSMT"/>
              </w:rPr>
              <w:t>Beiträge</w:t>
            </w:r>
            <w:proofErr w:type="spellEnd"/>
            <w:r w:rsidR="00143506">
              <w:rPr>
                <w:rFonts w:ascii="TimesNewRomanPSMT" w:hAnsi="TimesNewRomanPSMT"/>
              </w:rPr>
              <w:t xml:space="preserve"> der </w:t>
            </w:r>
            <w:proofErr w:type="spellStart"/>
            <w:r w:rsidR="00143506">
              <w:rPr>
                <w:rFonts w:ascii="TimesNewRomanPSMT" w:hAnsi="TimesNewRomanPSMT"/>
              </w:rPr>
              <w:t>Berufsunfähigkeitsversicherung</w:t>
            </w:r>
            <w:proofErr w:type="spellEnd"/>
            <w:r w:rsidR="00143506">
              <w:rPr>
                <w:rFonts w:ascii="TimesNewRomanPSMT" w:hAnsi="TimesNewRomanPSMT"/>
              </w:rPr>
              <w:t xml:space="preserve"> (</w:t>
            </w:r>
            <w:r w:rsidR="00143506">
              <w:rPr>
                <w:rFonts w:ascii="TimesNewRomanPS" w:hAnsi="TimesNewRomanPS"/>
                <w:i/>
                <w:iCs/>
              </w:rPr>
              <w:t>Berufsgruppen</w:t>
            </w:r>
            <w:r w:rsidR="00143506">
              <w:rPr>
                <w:rFonts w:ascii="TimesNewRomanPSMT" w:hAnsi="TimesNewRomanPSMT"/>
              </w:rPr>
              <w:t xml:space="preserve">). </w:t>
            </w:r>
          </w:p>
          <w:p w14:paraId="656BF6A2" w14:textId="5F02968B" w:rsidR="00143506" w:rsidRDefault="00143506" w:rsidP="003E7DB7">
            <w:pPr>
              <w:pStyle w:val="StandardWeb"/>
              <w:spacing w:before="0" w:after="0"/>
              <w:rPr>
                <w:rFonts w:ascii="TimesNewRomanPSMT" w:hAnsi="TimesNewRomanPSMT"/>
              </w:rPr>
            </w:pPr>
            <w:r>
              <w:rPr>
                <w:rFonts w:ascii="TimesNewRomanPSMT" w:hAnsi="TimesNewRomanPSMT"/>
              </w:rPr>
              <w:t xml:space="preserve">Im </w:t>
            </w:r>
            <w:proofErr w:type="spellStart"/>
            <w:r>
              <w:rPr>
                <w:rFonts w:ascii="TimesNewRomanPSMT" w:hAnsi="TimesNewRomanPSMT"/>
              </w:rPr>
              <w:t>Beratungsgespräch</w:t>
            </w:r>
            <w:proofErr w:type="spellEnd"/>
            <w:r>
              <w:rPr>
                <w:rFonts w:ascii="TimesNewRomanPSMT" w:hAnsi="TimesNewRomanPSMT"/>
              </w:rPr>
              <w:t xml:space="preserve"> </w:t>
            </w:r>
            <w:r w:rsidR="0089700C">
              <w:rPr>
                <w:rFonts w:ascii="TimesNewRomanPS" w:hAnsi="TimesNewRomanPS"/>
                <w:b/>
                <w:bCs/>
              </w:rPr>
              <w:t>erläutern</w:t>
            </w:r>
            <w:r>
              <w:rPr>
                <w:rFonts w:ascii="TimesNewRomanPS" w:hAnsi="TimesNewRomanPS"/>
                <w:b/>
                <w:bCs/>
              </w:rPr>
              <w:t xml:space="preserve"> </w:t>
            </w: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den Kundinnen und Kunden die vorvertragliche Anzeigepflicht und zeigen die Rechtsfolgen bei Verletzung dieser Pflicht auf. 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erfassen unter Beachtung des Datenschutzes und der Datensicherheit die zur Risikobeurteilung notwendigen Daten, nehmen </w:t>
            </w:r>
            <w:r w:rsidR="0089700C">
              <w:rPr>
                <w:rFonts w:ascii="TimesNewRomanPSMT" w:hAnsi="TimesNewRomanPSMT"/>
              </w:rPr>
              <w:t>Anträge</w:t>
            </w:r>
            <w:r>
              <w:rPr>
                <w:rFonts w:ascii="TimesNewRomanPSMT" w:hAnsi="TimesNewRomanPSMT"/>
              </w:rPr>
              <w:t xml:space="preserve"> auf und bereiten den Abschluss von </w:t>
            </w:r>
            <w:proofErr w:type="spellStart"/>
            <w:r>
              <w:rPr>
                <w:rFonts w:ascii="TimesNewRomanPSMT" w:hAnsi="TimesNewRomanPSMT"/>
              </w:rPr>
              <w:t>Berufsunfähigkeitsversicherungen</w:t>
            </w:r>
            <w:proofErr w:type="spellEnd"/>
            <w:r>
              <w:rPr>
                <w:rFonts w:ascii="TimesNewRomanPSMT" w:hAnsi="TimesNewRomanPSMT"/>
              </w:rPr>
              <w:t xml:space="preserve"> vor. Hierbei </w:t>
            </w:r>
            <w:r w:rsidRPr="00E8528B">
              <w:rPr>
                <w:rFonts w:ascii="TimesNewRomanPSMT" w:hAnsi="TimesNewRomanPSMT"/>
                <w:b/>
                <w:bCs/>
              </w:rPr>
              <w:t>informieren</w:t>
            </w:r>
            <w:r>
              <w:rPr>
                <w:rFonts w:ascii="TimesNewRomanPSMT" w:hAnsi="TimesNewRomanPSMT"/>
              </w:rPr>
              <w:t xml:space="preserve"> sie Kundinnen und Kunden </w:t>
            </w:r>
            <w:proofErr w:type="spellStart"/>
            <w:r>
              <w:rPr>
                <w:rFonts w:ascii="TimesNewRomanPSMT" w:hAnsi="TimesNewRomanPSMT"/>
              </w:rPr>
              <w:t>über</w:t>
            </w:r>
            <w:proofErr w:type="spellEnd"/>
            <w:r>
              <w:rPr>
                <w:rFonts w:ascii="TimesNewRomanPSMT" w:hAnsi="TimesNewRomanPSMT"/>
              </w:rPr>
              <w:t xml:space="preserve"> steuerliche Aspekte. </w:t>
            </w:r>
          </w:p>
          <w:p w14:paraId="7EC8E940" w14:textId="21C5FA2B" w:rsidR="005F408F" w:rsidRPr="003E7DB7" w:rsidRDefault="00217562" w:rsidP="003E7DB7">
            <w:pPr>
              <w:pStyle w:val="StandardWeb"/>
              <w:spacing w:before="0" w:after="0"/>
            </w:pPr>
            <w:r>
              <w:rPr>
                <w:rFonts w:ascii="TimesNewRomanPSMT" w:hAnsi="TimesNewRomanPSMT"/>
              </w:rPr>
              <w:lastRenderedPageBreak/>
              <w:t xml:space="preserve">In Hinblick auf Kundenzufriedenheit und Kundenbindung </w:t>
            </w:r>
            <w:r>
              <w:rPr>
                <w:rFonts w:ascii="TimesNewRomanPS" w:hAnsi="TimesNewRomanPS"/>
                <w:b/>
                <w:bCs/>
              </w:rPr>
              <w:t xml:space="preserve">reflektieren </w:t>
            </w: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ihr Service- und Kommunikationsverhalten im </w:t>
            </w:r>
            <w:proofErr w:type="spellStart"/>
            <w:r>
              <w:rPr>
                <w:rFonts w:ascii="TimesNewRomanPSMT" w:hAnsi="TimesNewRomanPSMT"/>
              </w:rPr>
              <w:t>Beratungsgespräch</w:t>
            </w:r>
            <w:proofErr w:type="spellEnd"/>
            <w:r>
              <w:rPr>
                <w:rFonts w:ascii="TimesNewRomanPSMT" w:hAnsi="TimesNewRomanPSMT"/>
              </w:rPr>
              <w:t xml:space="preserve"> und holen sich ein Kundenfeedback ein</w:t>
            </w:r>
          </w:p>
        </w:tc>
      </w:tr>
      <w:tr w:rsidR="00C14A82" w:rsidRPr="00850CC4" w14:paraId="11843D60" w14:textId="77777777" w:rsidTr="003E7DB7">
        <w:trPr>
          <w:jc w:val="center"/>
        </w:trPr>
        <w:tc>
          <w:tcPr>
            <w:tcW w:w="698" w:type="dxa"/>
            <w:tcBorders>
              <w:top w:val="single" w:sz="4" w:space="0" w:color="auto"/>
              <w:left w:val="single" w:sz="4" w:space="0" w:color="auto"/>
              <w:bottom w:val="single" w:sz="4" w:space="0" w:color="auto"/>
              <w:right w:val="single" w:sz="4" w:space="0" w:color="auto"/>
            </w:tcBorders>
          </w:tcPr>
          <w:p w14:paraId="05B4668B" w14:textId="30F1CF6E" w:rsidR="00C14A82" w:rsidRPr="00850CC4" w:rsidRDefault="00C14A82" w:rsidP="003E7DB7">
            <w:pPr>
              <w:spacing w:before="0" w:after="0"/>
              <w:jc w:val="left"/>
            </w:pPr>
            <w:r>
              <w:lastRenderedPageBreak/>
              <w:t>7.3</w:t>
            </w:r>
            <w:r w:rsidR="00A46449">
              <w:t>.1</w:t>
            </w:r>
          </w:p>
        </w:tc>
        <w:tc>
          <w:tcPr>
            <w:tcW w:w="5534" w:type="dxa"/>
            <w:tcBorders>
              <w:top w:val="single" w:sz="4" w:space="0" w:color="auto"/>
              <w:left w:val="single" w:sz="4" w:space="0" w:color="auto"/>
              <w:bottom w:val="single" w:sz="4" w:space="0" w:color="auto"/>
              <w:right w:val="single" w:sz="4" w:space="0" w:color="auto"/>
            </w:tcBorders>
          </w:tcPr>
          <w:p w14:paraId="74CE9A77" w14:textId="50E2B8F9" w:rsidR="00C14A82" w:rsidRPr="00850CC4" w:rsidRDefault="00A46449" w:rsidP="003E7DB7">
            <w:pPr>
              <w:spacing w:before="0" w:after="0"/>
              <w:jc w:val="left"/>
            </w:pPr>
            <w:r>
              <w:t xml:space="preserve">Aufbau von Fachwissen zur privaten </w:t>
            </w:r>
            <w:proofErr w:type="spellStart"/>
            <w:r>
              <w:t>UnfallV</w:t>
            </w:r>
            <w:proofErr w:type="spellEnd"/>
          </w:p>
        </w:tc>
        <w:tc>
          <w:tcPr>
            <w:tcW w:w="1560" w:type="dxa"/>
            <w:tcBorders>
              <w:top w:val="single" w:sz="4" w:space="0" w:color="auto"/>
              <w:left w:val="single" w:sz="4" w:space="0" w:color="auto"/>
              <w:bottom w:val="single" w:sz="4" w:space="0" w:color="auto"/>
              <w:right w:val="single" w:sz="4" w:space="0" w:color="auto"/>
            </w:tcBorders>
          </w:tcPr>
          <w:p w14:paraId="3508BB5F" w14:textId="2A05C118" w:rsidR="00C14A82" w:rsidRPr="00850CC4" w:rsidRDefault="001A6680" w:rsidP="003E7DB7">
            <w:pPr>
              <w:spacing w:before="0" w:after="0"/>
              <w:jc w:val="center"/>
            </w:pPr>
            <w:r>
              <w:t>18</w:t>
            </w:r>
            <w:r w:rsidR="00B603A0">
              <w:t xml:space="preserve"> UStd.</w:t>
            </w:r>
          </w:p>
        </w:tc>
        <w:tc>
          <w:tcPr>
            <w:tcW w:w="6780" w:type="dxa"/>
            <w:tcBorders>
              <w:top w:val="single" w:sz="4" w:space="0" w:color="auto"/>
              <w:left w:val="single" w:sz="4" w:space="0" w:color="auto"/>
              <w:bottom w:val="single" w:sz="4" w:space="0" w:color="auto"/>
              <w:right w:val="single" w:sz="4" w:space="0" w:color="auto"/>
            </w:tcBorders>
            <w:tcMar>
              <w:top w:w="85" w:type="dxa"/>
              <w:bottom w:w="85" w:type="dxa"/>
            </w:tcMar>
          </w:tcPr>
          <w:p w14:paraId="357C678B" w14:textId="43787520" w:rsidR="00217562" w:rsidRPr="00217562" w:rsidRDefault="00970289" w:rsidP="003E7DB7">
            <w:pPr>
              <w:pStyle w:val="StandardWeb"/>
              <w:spacing w:before="0" w:after="0"/>
              <w:rPr>
                <w:rFonts w:ascii="TimesNewRomanPS" w:hAnsi="TimesNewRomanPS"/>
                <w:i/>
                <w:iCs/>
              </w:rPr>
            </w:pPr>
            <w:r>
              <w:rPr>
                <w:rFonts w:ascii="TimesNewRomanPSMT" w:hAnsi="TimesNewRomanPSMT"/>
              </w:rPr>
              <w:t>Die Schülerinnen und Schüler</w:t>
            </w:r>
            <w:r w:rsidR="00217562">
              <w:rPr>
                <w:rFonts w:ascii="TimesNewRomanPSMT" w:hAnsi="TimesNewRomanPSMT"/>
              </w:rPr>
              <w:t xml:space="preserve"> </w:t>
            </w:r>
            <w:r w:rsidR="00217562" w:rsidRPr="00E8528B">
              <w:rPr>
                <w:rFonts w:ascii="TimesNewRomanPSMT" w:hAnsi="TimesNewRomanPSMT"/>
                <w:b/>
                <w:bCs/>
              </w:rPr>
              <w:t>informieren</w:t>
            </w:r>
            <w:r w:rsidR="00217562">
              <w:rPr>
                <w:rFonts w:ascii="TimesNewRomanPSMT" w:hAnsi="TimesNewRomanPSMT"/>
              </w:rPr>
              <w:t xml:space="preserve"> sich die in den entsprechenden Rechtsgrundlagen (</w:t>
            </w:r>
            <w:r w:rsidR="00217562">
              <w:rPr>
                <w:rFonts w:ascii="TimesNewRomanPS" w:hAnsi="TimesNewRomanPS"/>
                <w:i/>
                <w:iCs/>
              </w:rPr>
              <w:t xml:space="preserve">Allgemeine und Besondere Unfallversicherungsbedingungen), </w:t>
            </w:r>
            <w:r w:rsidR="00217562" w:rsidRPr="000F55CF">
              <w:rPr>
                <w:rFonts w:ascii="TimesNewRomanPS" w:hAnsi="TimesNewRomanPS"/>
                <w:iCs/>
              </w:rPr>
              <w:t>z.</w:t>
            </w:r>
            <w:r w:rsidR="00B603A0" w:rsidRPr="000F55CF">
              <w:rPr>
                <w:rFonts w:ascii="TimesNewRomanPS" w:hAnsi="TimesNewRomanPS"/>
                <w:iCs/>
              </w:rPr>
              <w:t xml:space="preserve"> </w:t>
            </w:r>
            <w:r w:rsidR="00217562" w:rsidRPr="000F55CF">
              <w:rPr>
                <w:rFonts w:ascii="TimesNewRomanPS" w:hAnsi="TimesNewRomanPS"/>
                <w:iCs/>
              </w:rPr>
              <w:t>B.</w:t>
            </w:r>
            <w:r w:rsidR="00217562">
              <w:rPr>
                <w:rFonts w:ascii="TimesNewRomanPS" w:hAnsi="TimesNewRomanPS"/>
                <w:i/>
                <w:iCs/>
              </w:rPr>
              <w:t xml:space="preserve"> </w:t>
            </w:r>
            <w:r w:rsidR="00217562" w:rsidRPr="000F55CF">
              <w:rPr>
                <w:rFonts w:ascii="TimesNewRomanPSMT" w:hAnsi="TimesNewRomanPSMT" w:hint="eastAsia"/>
              </w:rPr>
              <w:t>ü</w:t>
            </w:r>
            <w:r w:rsidR="00217562" w:rsidRPr="000F55CF">
              <w:rPr>
                <w:rFonts w:ascii="TimesNewRomanPSMT" w:hAnsi="TimesNewRomanPSMT"/>
              </w:rPr>
              <w:t>ber den</w:t>
            </w:r>
            <w:r w:rsidR="00217562">
              <w:rPr>
                <w:rFonts w:ascii="TimesNewRomanPS" w:hAnsi="TimesNewRomanPS"/>
                <w:i/>
                <w:iCs/>
              </w:rPr>
              <w:t xml:space="preserve"> </w:t>
            </w:r>
            <w:r w:rsidR="00217562">
              <w:rPr>
                <w:rFonts w:ascii="TimesNewRomanPSMT" w:hAnsi="TimesNewRomanPSMT"/>
              </w:rPr>
              <w:t xml:space="preserve">einfachen und erweiterten Unfallbegriff und sonstige </w:t>
            </w:r>
            <w:r w:rsidR="00B603A0">
              <w:rPr>
                <w:rFonts w:ascii="TimesNewRomanPSMT" w:hAnsi="TimesNewRomanPSMT"/>
              </w:rPr>
              <w:t>v</w:t>
            </w:r>
            <w:r w:rsidR="00217562">
              <w:rPr>
                <w:rFonts w:ascii="TimesNewRomanPSMT" w:hAnsi="TimesNewRomanPSMT"/>
              </w:rPr>
              <w:t>ertragsrelevante Details.</w:t>
            </w:r>
          </w:p>
          <w:p w14:paraId="2B08F3F8" w14:textId="189082EE" w:rsidR="00C14A82" w:rsidRPr="00850CC4" w:rsidRDefault="00C14A82" w:rsidP="003E7DB7">
            <w:pPr>
              <w:pStyle w:val="StandardWeb"/>
              <w:spacing w:before="0" w:after="0"/>
            </w:pP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Pr>
                <w:rFonts w:ascii="TimesNewRomanPS" w:hAnsi="TimesNewRomanPS"/>
                <w:b/>
                <w:bCs/>
              </w:rPr>
              <w:t xml:space="preserve">planen </w:t>
            </w:r>
            <w:r>
              <w:rPr>
                <w:rFonts w:ascii="TimesNewRomanPSMT" w:hAnsi="TimesNewRomanPSMT"/>
              </w:rPr>
              <w:t xml:space="preserve">spezifische </w:t>
            </w:r>
            <w:proofErr w:type="spellStart"/>
            <w:r>
              <w:rPr>
                <w:rFonts w:ascii="TimesNewRomanPSMT" w:hAnsi="TimesNewRomanPSMT"/>
              </w:rPr>
              <w:t>Versich</w:t>
            </w:r>
            <w:r w:rsidR="00BE49B6">
              <w:rPr>
                <w:rFonts w:ascii="TimesNewRomanPSMT" w:hAnsi="TimesNewRomanPSMT"/>
              </w:rPr>
              <w:t>e</w:t>
            </w:r>
            <w:r>
              <w:rPr>
                <w:rFonts w:ascii="TimesNewRomanPSMT" w:hAnsi="TimesNewRomanPSMT"/>
              </w:rPr>
              <w:t>rungs</w:t>
            </w:r>
            <w:r w:rsidR="00BE49B6">
              <w:rPr>
                <w:rFonts w:ascii="TimesNewRomanPSMT" w:hAnsi="TimesNewRomanPSMT"/>
              </w:rPr>
              <w:softHyphen/>
            </w:r>
            <w:r>
              <w:rPr>
                <w:rFonts w:ascii="TimesNewRomanPSMT" w:hAnsi="TimesNewRomanPSMT"/>
              </w:rPr>
              <w:t>lösungen</w:t>
            </w:r>
            <w:proofErr w:type="spellEnd"/>
            <w:r>
              <w:rPr>
                <w:rFonts w:ascii="TimesNewRomanPSMT" w:hAnsi="TimesNewRomanPSMT"/>
              </w:rPr>
              <w:t xml:space="preserve"> </w:t>
            </w:r>
            <w:proofErr w:type="spellStart"/>
            <w:r>
              <w:rPr>
                <w:rFonts w:ascii="TimesNewRomanPSMT" w:hAnsi="TimesNewRomanPSMT"/>
              </w:rPr>
              <w:t>für</w:t>
            </w:r>
            <w:proofErr w:type="spellEnd"/>
            <w:r>
              <w:rPr>
                <w:rFonts w:ascii="TimesNewRomanPSMT" w:hAnsi="TimesNewRomanPSMT"/>
              </w:rPr>
              <w:t xml:space="preserve"> die Kundinnen und Kunden und </w:t>
            </w:r>
            <w:r w:rsidR="00BE49B6">
              <w:rPr>
                <w:rFonts w:ascii="TimesNewRomanPSMT" w:hAnsi="TimesNewRomanPSMT"/>
              </w:rPr>
              <w:t>deren</w:t>
            </w:r>
            <w:r>
              <w:rPr>
                <w:rFonts w:ascii="TimesNewRomanPSMT" w:hAnsi="TimesNewRomanPSMT"/>
              </w:rPr>
              <w:t xml:space="preserve"> </w:t>
            </w:r>
            <w:r w:rsidR="0089700C">
              <w:rPr>
                <w:rFonts w:ascii="TimesNewRomanPSMT" w:hAnsi="TimesNewRomanPSMT"/>
              </w:rPr>
              <w:t>Familienangehörige,</w:t>
            </w:r>
            <w:r>
              <w:rPr>
                <w:rFonts w:ascii="TimesNewRomanPSMT" w:hAnsi="TimesNewRomanPSMT"/>
              </w:rPr>
              <w:t xml:space="preserve"> indem sie das Risiko beurteilen</w:t>
            </w:r>
            <w:r w:rsidR="004E740D">
              <w:rPr>
                <w:rFonts w:ascii="TimesNewRomanPSMT" w:hAnsi="TimesNewRomanPSMT"/>
              </w:rPr>
              <w:t xml:space="preserve"> und sich mit den Leistungsarten auseinandersetzen (</w:t>
            </w:r>
            <w:proofErr w:type="spellStart"/>
            <w:r w:rsidR="004E740D">
              <w:rPr>
                <w:rFonts w:ascii="TimesNewRomanPS" w:hAnsi="TimesNewRomanPS"/>
                <w:i/>
                <w:iCs/>
              </w:rPr>
              <w:t>Invaliditätsleistung</w:t>
            </w:r>
            <w:proofErr w:type="spellEnd"/>
            <w:r w:rsidR="004E740D">
              <w:rPr>
                <w:rFonts w:ascii="TimesNewRomanPS" w:hAnsi="TimesNewRomanPS"/>
                <w:i/>
                <w:iCs/>
              </w:rPr>
              <w:t>, Gliedertaxe, Progression, Unfallrente, Assistance-Leistungen</w:t>
            </w:r>
            <w:r w:rsidR="004E740D">
              <w:rPr>
                <w:rFonts w:ascii="TimesNewRomanPSMT" w:hAnsi="TimesNewRomanPSMT"/>
              </w:rPr>
              <w:t>).</w:t>
            </w:r>
            <w:r>
              <w:rPr>
                <w:rFonts w:ascii="TimesNewRomanPSMT" w:hAnsi="TimesNewRomanPSMT"/>
              </w:rPr>
              <w:t xml:space="preserve"> </w:t>
            </w:r>
          </w:p>
        </w:tc>
      </w:tr>
      <w:tr w:rsidR="00A46449" w:rsidRPr="00850CC4" w14:paraId="4C5FA850" w14:textId="77777777" w:rsidTr="003E7DB7">
        <w:trPr>
          <w:jc w:val="center"/>
        </w:trPr>
        <w:tc>
          <w:tcPr>
            <w:tcW w:w="698" w:type="dxa"/>
            <w:tcBorders>
              <w:top w:val="single" w:sz="4" w:space="0" w:color="auto"/>
              <w:left w:val="single" w:sz="4" w:space="0" w:color="auto"/>
              <w:bottom w:val="single" w:sz="4" w:space="0" w:color="auto"/>
              <w:right w:val="single" w:sz="4" w:space="0" w:color="auto"/>
            </w:tcBorders>
          </w:tcPr>
          <w:p w14:paraId="14FFC32D" w14:textId="32654610" w:rsidR="00A46449" w:rsidRDefault="00A46449" w:rsidP="003E7DB7">
            <w:pPr>
              <w:spacing w:before="0" w:after="0"/>
              <w:jc w:val="left"/>
            </w:pPr>
            <w:r>
              <w:t>7.3.2</w:t>
            </w:r>
          </w:p>
        </w:tc>
        <w:tc>
          <w:tcPr>
            <w:tcW w:w="5534" w:type="dxa"/>
            <w:tcBorders>
              <w:top w:val="single" w:sz="4" w:space="0" w:color="auto"/>
              <w:left w:val="single" w:sz="4" w:space="0" w:color="auto"/>
              <w:bottom w:val="single" w:sz="4" w:space="0" w:color="auto"/>
              <w:right w:val="single" w:sz="4" w:space="0" w:color="auto"/>
            </w:tcBorders>
          </w:tcPr>
          <w:p w14:paraId="32EF63A6" w14:textId="69F3AF84" w:rsidR="00A46449" w:rsidRDefault="00A46449" w:rsidP="003E7DB7">
            <w:pPr>
              <w:spacing w:before="0" w:after="0"/>
              <w:jc w:val="left"/>
            </w:pPr>
            <w:r>
              <w:t>Kunden zur privaten Unfallversicherung beraten und bedarfsgerechtes Angebot erstellen</w:t>
            </w:r>
          </w:p>
        </w:tc>
        <w:tc>
          <w:tcPr>
            <w:tcW w:w="1560" w:type="dxa"/>
            <w:tcBorders>
              <w:top w:val="single" w:sz="4" w:space="0" w:color="auto"/>
              <w:left w:val="single" w:sz="4" w:space="0" w:color="auto"/>
              <w:bottom w:val="single" w:sz="4" w:space="0" w:color="auto"/>
              <w:right w:val="single" w:sz="4" w:space="0" w:color="auto"/>
            </w:tcBorders>
          </w:tcPr>
          <w:p w14:paraId="24CEAA07" w14:textId="52348570" w:rsidR="00A46449" w:rsidRDefault="00A46449" w:rsidP="003E7DB7">
            <w:pPr>
              <w:spacing w:before="0" w:after="0"/>
              <w:jc w:val="center"/>
            </w:pPr>
            <w:r>
              <w:t>10</w:t>
            </w:r>
            <w:r w:rsidR="00B603A0">
              <w:t xml:space="preserve"> UStd.</w:t>
            </w:r>
          </w:p>
        </w:tc>
        <w:tc>
          <w:tcPr>
            <w:tcW w:w="6780" w:type="dxa"/>
            <w:tcBorders>
              <w:top w:val="single" w:sz="4" w:space="0" w:color="auto"/>
              <w:left w:val="single" w:sz="4" w:space="0" w:color="auto"/>
              <w:bottom w:val="single" w:sz="4" w:space="0" w:color="auto"/>
              <w:right w:val="single" w:sz="4" w:space="0" w:color="auto"/>
            </w:tcBorders>
            <w:tcMar>
              <w:top w:w="85" w:type="dxa"/>
              <w:bottom w:w="85" w:type="dxa"/>
            </w:tcMar>
          </w:tcPr>
          <w:p w14:paraId="3885B528" w14:textId="423C67F5" w:rsidR="004E740D" w:rsidRDefault="004E740D" w:rsidP="003E7DB7">
            <w:pPr>
              <w:pStyle w:val="StandardWeb"/>
              <w:spacing w:before="0" w:after="0"/>
              <w:rPr>
                <w:rFonts w:ascii="TimesNewRomanPSMT" w:hAnsi="TimesNewRomanPSMT"/>
              </w:rPr>
            </w:pPr>
            <w:r>
              <w:rPr>
                <w:rFonts w:ascii="TimesNewRomanPSMT" w:hAnsi="TimesNewRomanPSMT"/>
              </w:rPr>
              <w:t xml:space="preserve">Die Schülerinnen und Schüler erstellen bedarfsgerechte Angebote </w:t>
            </w:r>
            <w:proofErr w:type="spellStart"/>
            <w:r>
              <w:rPr>
                <w:rFonts w:ascii="TimesNewRomanPSMT" w:hAnsi="TimesNewRomanPSMT"/>
              </w:rPr>
              <w:t>für</w:t>
            </w:r>
            <w:proofErr w:type="spellEnd"/>
            <w:r>
              <w:rPr>
                <w:rFonts w:ascii="TimesNewRomanPSMT" w:hAnsi="TimesNewRomanPSMT"/>
              </w:rPr>
              <w:t xml:space="preserve"> die private Unfallversicherung und ermitteln </w:t>
            </w:r>
            <w:proofErr w:type="spellStart"/>
            <w:r>
              <w:rPr>
                <w:rFonts w:ascii="TimesNewRomanPSMT" w:hAnsi="TimesNewRomanPSMT"/>
              </w:rPr>
              <w:t>Beiträge</w:t>
            </w:r>
            <w:proofErr w:type="spellEnd"/>
            <w:r>
              <w:rPr>
                <w:rFonts w:ascii="TimesNewRomanPSMT" w:hAnsi="TimesNewRomanPSMT"/>
              </w:rPr>
              <w:t xml:space="preserve"> der privaten Unfallversicherung (</w:t>
            </w:r>
            <w:r>
              <w:rPr>
                <w:rFonts w:ascii="TimesNewRomanPS" w:hAnsi="TimesNewRomanPS"/>
                <w:i/>
                <w:iCs/>
              </w:rPr>
              <w:t>Gefahrengruppen</w:t>
            </w:r>
            <w:r>
              <w:rPr>
                <w:rFonts w:ascii="TimesNewRomanPSMT" w:hAnsi="TimesNewRomanPSMT"/>
              </w:rPr>
              <w:t>).</w:t>
            </w:r>
          </w:p>
          <w:p w14:paraId="579CADBF" w14:textId="30FEC2D8" w:rsidR="004E740D" w:rsidRDefault="004E740D" w:rsidP="003E7DB7">
            <w:pPr>
              <w:pStyle w:val="StandardWeb"/>
              <w:spacing w:before="0" w:after="0"/>
              <w:rPr>
                <w:rFonts w:ascii="TimesNewRomanPSMT" w:hAnsi="TimesNewRomanPSMT"/>
              </w:rPr>
            </w:pPr>
            <w:r>
              <w:rPr>
                <w:rFonts w:ascii="TimesNewRomanPSMT" w:hAnsi="TimesNewRomanPSMT"/>
              </w:rPr>
              <w:t xml:space="preserve">Im </w:t>
            </w:r>
            <w:proofErr w:type="spellStart"/>
            <w:r>
              <w:rPr>
                <w:rFonts w:ascii="TimesNewRomanPSMT" w:hAnsi="TimesNewRomanPSMT"/>
              </w:rPr>
              <w:t>Beratungsgespräch</w:t>
            </w:r>
            <w:proofErr w:type="spellEnd"/>
            <w:r>
              <w:rPr>
                <w:rFonts w:ascii="TimesNewRomanPSMT" w:hAnsi="TimesNewRomanPSMT"/>
              </w:rPr>
              <w:t xml:space="preserve"> </w:t>
            </w:r>
            <w:proofErr w:type="spellStart"/>
            <w:r>
              <w:rPr>
                <w:rFonts w:ascii="TimesNewRomanPS" w:hAnsi="TimesNewRomanPS"/>
                <w:b/>
                <w:bCs/>
              </w:rPr>
              <w:t>erläutern</w:t>
            </w:r>
            <w:proofErr w:type="spellEnd"/>
            <w:r>
              <w:rPr>
                <w:rFonts w:ascii="TimesNewRomanPS" w:hAnsi="TimesNewRomanPS"/>
                <w:b/>
                <w:bCs/>
              </w:rPr>
              <w:t xml:space="preserve"> </w:t>
            </w: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den Kundinnen und Kunden die vorvertragliche Anzeigepflicht und zeigen die Rechtsfolgen bei Verletzung dieser Pflicht auf. 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w:t>
            </w:r>
            <w:r w:rsidRPr="00E8528B">
              <w:rPr>
                <w:rFonts w:ascii="TimesNewRomanPSMT" w:hAnsi="TimesNewRomanPSMT"/>
                <w:b/>
                <w:bCs/>
              </w:rPr>
              <w:t>erfassen</w:t>
            </w:r>
            <w:r>
              <w:rPr>
                <w:rFonts w:ascii="TimesNewRomanPSMT" w:hAnsi="TimesNewRomanPSMT"/>
              </w:rPr>
              <w:t xml:space="preserve"> unter Beachtung des Datenschutzes und der Datensicherheit die zur Risikobeurteilung notwendigen Daten, nehmen </w:t>
            </w:r>
            <w:proofErr w:type="spellStart"/>
            <w:r>
              <w:rPr>
                <w:rFonts w:ascii="TimesNewRomanPSMT" w:hAnsi="TimesNewRomanPSMT"/>
              </w:rPr>
              <w:t>Anträge</w:t>
            </w:r>
            <w:proofErr w:type="spellEnd"/>
            <w:r>
              <w:rPr>
                <w:rFonts w:ascii="TimesNewRomanPSMT" w:hAnsi="TimesNewRomanPSMT"/>
              </w:rPr>
              <w:t xml:space="preserve"> auf und bereiten den Abschluss von privaten Unfallversicherungen vor. Hierbei </w:t>
            </w:r>
            <w:r w:rsidRPr="00E8528B">
              <w:rPr>
                <w:rFonts w:ascii="TimesNewRomanPSMT" w:hAnsi="TimesNewRomanPSMT"/>
                <w:b/>
                <w:bCs/>
              </w:rPr>
              <w:t>informieren</w:t>
            </w:r>
            <w:r>
              <w:rPr>
                <w:rFonts w:ascii="TimesNewRomanPSMT" w:hAnsi="TimesNewRomanPSMT"/>
              </w:rPr>
              <w:t xml:space="preserve"> sie Kundinnen und Kunden </w:t>
            </w:r>
            <w:proofErr w:type="spellStart"/>
            <w:r>
              <w:rPr>
                <w:rFonts w:ascii="TimesNewRomanPSMT" w:hAnsi="TimesNewRomanPSMT"/>
              </w:rPr>
              <w:t>über</w:t>
            </w:r>
            <w:proofErr w:type="spellEnd"/>
            <w:r>
              <w:rPr>
                <w:rFonts w:ascii="TimesNewRomanPSMT" w:hAnsi="TimesNewRomanPSMT"/>
              </w:rPr>
              <w:t xml:space="preserve"> steuerliche Aspekte.</w:t>
            </w:r>
          </w:p>
          <w:p w14:paraId="275D9667" w14:textId="6354E760" w:rsidR="00A46449" w:rsidRPr="004E740D" w:rsidRDefault="004E740D" w:rsidP="003E7DB7">
            <w:pPr>
              <w:pStyle w:val="StandardWeb"/>
              <w:spacing w:before="0" w:after="0"/>
            </w:pPr>
            <w:r>
              <w:rPr>
                <w:rFonts w:ascii="TimesNewRomanPSMT" w:hAnsi="TimesNewRomanPSMT"/>
              </w:rPr>
              <w:t xml:space="preserve">In Hinblick auf Kundenzufriedenheit und Kundenbindung </w:t>
            </w:r>
            <w:r>
              <w:rPr>
                <w:rFonts w:ascii="TimesNewRomanPS" w:hAnsi="TimesNewRomanPS"/>
                <w:b/>
                <w:bCs/>
              </w:rPr>
              <w:t xml:space="preserve">reflektieren </w:t>
            </w: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ihr Service- und Kommunikationsverhalten im </w:t>
            </w:r>
            <w:proofErr w:type="spellStart"/>
            <w:r>
              <w:rPr>
                <w:rFonts w:ascii="TimesNewRomanPSMT" w:hAnsi="TimesNewRomanPSMT"/>
              </w:rPr>
              <w:t>Beratungsgespräch</w:t>
            </w:r>
            <w:proofErr w:type="spellEnd"/>
            <w:r>
              <w:rPr>
                <w:rFonts w:ascii="TimesNewRomanPSMT" w:hAnsi="TimesNewRomanPSMT"/>
              </w:rPr>
              <w:t xml:space="preserve"> und holen sich ein Kundenfeedback ein</w:t>
            </w:r>
          </w:p>
        </w:tc>
      </w:tr>
      <w:tr w:rsidR="00C14A82" w:rsidRPr="00850CC4" w14:paraId="29018A34" w14:textId="77777777" w:rsidTr="00E443D1">
        <w:trPr>
          <w:cantSplit/>
          <w:jc w:val="center"/>
        </w:trPr>
        <w:tc>
          <w:tcPr>
            <w:tcW w:w="698" w:type="dxa"/>
            <w:tcBorders>
              <w:top w:val="single" w:sz="4" w:space="0" w:color="auto"/>
              <w:left w:val="single" w:sz="4" w:space="0" w:color="auto"/>
              <w:bottom w:val="single" w:sz="4" w:space="0" w:color="auto"/>
              <w:right w:val="single" w:sz="4" w:space="0" w:color="auto"/>
            </w:tcBorders>
          </w:tcPr>
          <w:p w14:paraId="19333BE8" w14:textId="4330AB58" w:rsidR="00C14A82" w:rsidRPr="00850CC4" w:rsidRDefault="00C14A82" w:rsidP="003E7DB7">
            <w:pPr>
              <w:spacing w:before="0" w:after="0"/>
              <w:jc w:val="left"/>
            </w:pPr>
            <w:r>
              <w:lastRenderedPageBreak/>
              <w:t>7.4</w:t>
            </w:r>
          </w:p>
        </w:tc>
        <w:tc>
          <w:tcPr>
            <w:tcW w:w="5534" w:type="dxa"/>
            <w:tcBorders>
              <w:top w:val="single" w:sz="4" w:space="0" w:color="auto"/>
              <w:left w:val="single" w:sz="4" w:space="0" w:color="auto"/>
              <w:bottom w:val="single" w:sz="4" w:space="0" w:color="auto"/>
              <w:right w:val="single" w:sz="4" w:space="0" w:color="auto"/>
            </w:tcBorders>
          </w:tcPr>
          <w:p w14:paraId="5D8DF751" w14:textId="5D9809F4" w:rsidR="00C14A82" w:rsidRPr="00850CC4" w:rsidRDefault="00C14A82" w:rsidP="003E7DB7">
            <w:pPr>
              <w:spacing w:before="0" w:after="0"/>
              <w:jc w:val="left"/>
            </w:pPr>
            <w:r>
              <w:t>Vertragsänderungen und Leistungsfall BU sowie Unfall</w:t>
            </w:r>
            <w:r w:rsidR="00F0618D">
              <w:t>versicherung bearbeiten</w:t>
            </w:r>
          </w:p>
        </w:tc>
        <w:tc>
          <w:tcPr>
            <w:tcW w:w="1560" w:type="dxa"/>
            <w:tcBorders>
              <w:top w:val="single" w:sz="4" w:space="0" w:color="auto"/>
              <w:left w:val="single" w:sz="4" w:space="0" w:color="auto"/>
              <w:bottom w:val="single" w:sz="4" w:space="0" w:color="auto"/>
              <w:right w:val="single" w:sz="4" w:space="0" w:color="auto"/>
            </w:tcBorders>
          </w:tcPr>
          <w:p w14:paraId="2A55B592" w14:textId="3AC2F5A5" w:rsidR="00C14A82" w:rsidRPr="00850CC4" w:rsidRDefault="00FE2282" w:rsidP="003E7DB7">
            <w:pPr>
              <w:spacing w:before="0" w:after="0"/>
              <w:jc w:val="center"/>
            </w:pPr>
            <w:r>
              <w:t>1</w:t>
            </w:r>
            <w:r w:rsidR="001A6680">
              <w:t>2</w:t>
            </w:r>
            <w:r w:rsidR="00B603A0">
              <w:t xml:space="preserve"> UStd.</w:t>
            </w:r>
          </w:p>
        </w:tc>
        <w:tc>
          <w:tcPr>
            <w:tcW w:w="6780"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6F57222" w14:textId="0F5C5B04" w:rsidR="00C14A82" w:rsidRDefault="00C14A82" w:rsidP="003E7DB7">
            <w:pPr>
              <w:pStyle w:val="StandardWeb"/>
              <w:spacing w:before="0" w:after="0"/>
            </w:pPr>
            <w:r>
              <w:rPr>
                <w:rFonts w:ascii="TimesNewRomanPSMT" w:hAnsi="TimesNewRomanPSMT"/>
              </w:rPr>
              <w:t xml:space="preserve">Im Rahmen der Bestandspflege </w:t>
            </w:r>
            <w:r>
              <w:rPr>
                <w:rFonts w:ascii="TimesNewRomanPS" w:hAnsi="TimesNewRomanPS"/>
                <w:b/>
                <w:bCs/>
              </w:rPr>
              <w:t xml:space="preserve">kontrollieren </w:t>
            </w: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den Versicherungsschutz ihrer Kundinnen und Kunden und beraten diese bei </w:t>
            </w:r>
            <w:proofErr w:type="spellStart"/>
            <w:r>
              <w:rPr>
                <w:rFonts w:ascii="TimesNewRomanPSMT" w:hAnsi="TimesNewRomanPSMT"/>
              </w:rPr>
              <w:t>Änderungen</w:t>
            </w:r>
            <w:proofErr w:type="spellEnd"/>
            <w:r>
              <w:rPr>
                <w:rFonts w:ascii="TimesNewRomanPSMT" w:hAnsi="TimesNewRomanPSMT"/>
              </w:rPr>
              <w:t xml:space="preserve"> der individuellen Lebenssituation (</w:t>
            </w:r>
            <w:r w:rsidR="0089700C">
              <w:rPr>
                <w:rFonts w:ascii="TimesNewRomanPS" w:hAnsi="TimesNewRomanPS"/>
                <w:i/>
                <w:iCs/>
              </w:rPr>
              <w:t>Volljährigkeit</w:t>
            </w:r>
            <w:r>
              <w:rPr>
                <w:rFonts w:ascii="TimesNewRomanPS" w:hAnsi="TimesNewRomanPS"/>
                <w:i/>
                <w:iCs/>
              </w:rPr>
              <w:t xml:space="preserve">, </w:t>
            </w:r>
            <w:r w:rsidR="0089700C">
              <w:rPr>
                <w:rFonts w:ascii="TimesNewRomanPS" w:hAnsi="TimesNewRomanPS"/>
                <w:i/>
                <w:iCs/>
              </w:rPr>
              <w:t>Berufstätigkeit</w:t>
            </w:r>
            <w:r>
              <w:rPr>
                <w:rFonts w:ascii="TimesNewRomanPS" w:hAnsi="TimesNewRomanPS"/>
                <w:i/>
                <w:iCs/>
              </w:rPr>
              <w:t xml:space="preserve">, Familienkonstellation, Wegzug, Renteneintritt). </w:t>
            </w:r>
            <w:r>
              <w:rPr>
                <w:rFonts w:ascii="TimesNewRomanPSMT" w:hAnsi="TimesNewRomanPSMT"/>
              </w:rPr>
              <w:t>Im Sinne einer langfristigen Kundenbindung optimieren sie den Versicherungsschutz ihrer Kundinnen und Kunden.</w:t>
            </w:r>
          </w:p>
          <w:p w14:paraId="01285EE4" w14:textId="1B31698E" w:rsidR="00C14A82" w:rsidRDefault="00C14A82" w:rsidP="003E7DB7">
            <w:pPr>
              <w:pStyle w:val="StandardWeb"/>
              <w:spacing w:before="0" w:after="0"/>
            </w:pPr>
            <w:r>
              <w:rPr>
                <w:rFonts w:ascii="TimesNewRomanPSMT" w:hAnsi="TimesNewRomanPSMT"/>
              </w:rPr>
              <w:t xml:space="preserve">Im Leistungsfall </w:t>
            </w:r>
            <w:r w:rsidR="0089700C" w:rsidRPr="000D1161">
              <w:rPr>
                <w:rFonts w:ascii="TimesNewRomanPSMT" w:hAnsi="TimesNewRomanPSMT"/>
                <w:b/>
                <w:bCs/>
              </w:rPr>
              <w:t>führen</w:t>
            </w:r>
            <w:r>
              <w:rPr>
                <w:rFonts w:ascii="TimesNewRomanPSMT" w:hAnsi="TimesNewRomanPSMT"/>
              </w:rPr>
              <w:t xml:space="preserve"> 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die formelle und materielle </w:t>
            </w:r>
            <w:proofErr w:type="spellStart"/>
            <w:r w:rsidRPr="000D1161">
              <w:rPr>
                <w:rFonts w:ascii="TimesNewRomanPSMT" w:hAnsi="TimesNewRomanPSMT"/>
                <w:b/>
                <w:bCs/>
              </w:rPr>
              <w:t>Deckungsprüfung</w:t>
            </w:r>
            <w:proofErr w:type="spellEnd"/>
            <w:r>
              <w:rPr>
                <w:rFonts w:ascii="TimesNewRomanPSMT" w:hAnsi="TimesNewRomanPSMT"/>
              </w:rPr>
              <w:t xml:space="preserve"> (</w:t>
            </w:r>
            <w:proofErr w:type="spellStart"/>
            <w:r>
              <w:rPr>
                <w:rFonts w:ascii="TimesNewRomanPS" w:hAnsi="TimesNewRomanPS"/>
                <w:i/>
                <w:iCs/>
              </w:rPr>
              <w:t>Vertragsverhältnis</w:t>
            </w:r>
            <w:proofErr w:type="spellEnd"/>
            <w:r>
              <w:rPr>
                <w:rFonts w:ascii="TimesNewRomanPS" w:hAnsi="TimesNewRomanPS"/>
                <w:i/>
                <w:iCs/>
              </w:rPr>
              <w:t xml:space="preserve">, </w:t>
            </w:r>
            <w:proofErr w:type="spellStart"/>
            <w:r>
              <w:rPr>
                <w:rFonts w:ascii="TimesNewRomanPS" w:hAnsi="TimesNewRomanPS"/>
                <w:i/>
                <w:iCs/>
              </w:rPr>
              <w:t>Prämienverzug</w:t>
            </w:r>
            <w:proofErr w:type="spellEnd"/>
            <w:r>
              <w:rPr>
                <w:rFonts w:ascii="TimesNewRomanPS" w:hAnsi="TimesNewRomanPS"/>
                <w:i/>
                <w:iCs/>
              </w:rPr>
              <w:t xml:space="preserve">, Obliegenheitsverletzungen, Verweisbarkeit, Leistung von anderen </w:t>
            </w:r>
            <w:proofErr w:type="spellStart"/>
            <w:r>
              <w:rPr>
                <w:rFonts w:ascii="TimesNewRomanPS" w:hAnsi="TimesNewRomanPS"/>
                <w:i/>
                <w:iCs/>
              </w:rPr>
              <w:t>Kostenträgern</w:t>
            </w:r>
            <w:proofErr w:type="spellEnd"/>
            <w:r>
              <w:rPr>
                <w:rFonts w:ascii="TimesNewRomanPSMT" w:hAnsi="TimesNewRomanPSMT"/>
              </w:rPr>
              <w:t xml:space="preserve">) durch. Sie </w:t>
            </w:r>
            <w:r>
              <w:rPr>
                <w:rFonts w:ascii="TimesNewRomanPS" w:hAnsi="TimesNewRomanPS"/>
                <w:b/>
                <w:bCs/>
              </w:rPr>
              <w:t xml:space="preserve">beurteilen </w:t>
            </w:r>
            <w:r>
              <w:rPr>
                <w:rFonts w:ascii="TimesNewRomanPSMT" w:hAnsi="TimesNewRomanPSMT"/>
              </w:rPr>
              <w:t xml:space="preserve">den Leistungsfall, </w:t>
            </w:r>
            <w:r w:rsidRPr="000D1161">
              <w:rPr>
                <w:rFonts w:ascii="TimesNewRomanPSMT" w:hAnsi="TimesNewRomanPSMT"/>
                <w:b/>
                <w:bCs/>
              </w:rPr>
              <w:t>berechnen</w:t>
            </w:r>
            <w:r>
              <w:rPr>
                <w:rFonts w:ascii="TimesNewRomanPSMT" w:hAnsi="TimesNewRomanPSMT"/>
              </w:rPr>
              <w:t xml:space="preserve"> die </w:t>
            </w:r>
            <w:r w:rsidR="0089700C">
              <w:rPr>
                <w:rFonts w:ascii="TimesNewRomanPSMT" w:hAnsi="TimesNewRomanPSMT"/>
              </w:rPr>
              <w:t>Entschädigung</w:t>
            </w:r>
            <w:r>
              <w:rPr>
                <w:rFonts w:ascii="TimesNewRomanPSMT" w:hAnsi="TimesNewRomanPSMT"/>
              </w:rPr>
              <w:t xml:space="preserve"> (</w:t>
            </w:r>
            <w:proofErr w:type="spellStart"/>
            <w:r>
              <w:rPr>
                <w:rFonts w:ascii="TimesNewRomanPS" w:hAnsi="TimesNewRomanPS"/>
                <w:i/>
                <w:iCs/>
              </w:rPr>
              <w:t>Vorinvalidität</w:t>
            </w:r>
            <w:proofErr w:type="spellEnd"/>
            <w:r>
              <w:rPr>
                <w:rFonts w:ascii="TimesNewRomanPS" w:hAnsi="TimesNewRomanPS"/>
                <w:i/>
                <w:iCs/>
              </w:rPr>
              <w:t>, Mitwirkung</w:t>
            </w:r>
            <w:r>
              <w:rPr>
                <w:rFonts w:ascii="TimesNewRomanPSMT" w:hAnsi="TimesNewRomanPSMT"/>
              </w:rPr>
              <w:t xml:space="preserve">), informieren die Versicherungsnehmerinnen und Versicherungsnehmer - auch mithilfe digitaler Medien - </w:t>
            </w:r>
            <w:proofErr w:type="spellStart"/>
            <w:r>
              <w:rPr>
                <w:rFonts w:ascii="TimesNewRomanPSMT" w:hAnsi="TimesNewRomanPSMT"/>
              </w:rPr>
              <w:t>über</w:t>
            </w:r>
            <w:proofErr w:type="spellEnd"/>
            <w:r>
              <w:rPr>
                <w:rFonts w:ascii="TimesNewRomanPSMT" w:hAnsi="TimesNewRomanPSMT"/>
              </w:rPr>
              <w:t xml:space="preserve"> die Regulierung und weisen sie auf ihre Rechte und Pflichten hin. </w:t>
            </w:r>
          </w:p>
          <w:p w14:paraId="35235F08" w14:textId="6D49F0FB" w:rsidR="00C14A82" w:rsidRPr="00850CC4" w:rsidRDefault="00C14A82" w:rsidP="003E7DB7">
            <w:pPr>
              <w:pStyle w:val="StandardWeb"/>
              <w:spacing w:before="0" w:after="0"/>
            </w:pPr>
            <w:r>
              <w:rPr>
                <w:rFonts w:ascii="TimesNewRomanPSMT" w:hAnsi="TimesNewRomanPSMT"/>
              </w:rPr>
              <w:t xml:space="preserve">In Hinblick auf Kundenzufriedenheit und Kundenbindung </w:t>
            </w:r>
            <w:r>
              <w:rPr>
                <w:rFonts w:ascii="TimesNewRomanPS" w:hAnsi="TimesNewRomanPS"/>
                <w:b/>
                <w:bCs/>
              </w:rPr>
              <w:t xml:space="preserve">reflektieren </w:t>
            </w:r>
            <w:r>
              <w:rPr>
                <w:rFonts w:ascii="TimesNewRomanPSMT" w:hAnsi="TimesNewRomanPSMT"/>
              </w:rPr>
              <w:t xml:space="preserve">die </w:t>
            </w:r>
            <w:proofErr w:type="spellStart"/>
            <w:r>
              <w:rPr>
                <w:rFonts w:ascii="TimesNewRomanPSMT" w:hAnsi="TimesNewRomanPSMT"/>
              </w:rPr>
              <w:t>Schülerinnen</w:t>
            </w:r>
            <w:proofErr w:type="spellEnd"/>
            <w:r>
              <w:rPr>
                <w:rFonts w:ascii="TimesNewRomanPSMT" w:hAnsi="TimesNewRomanPSMT"/>
              </w:rPr>
              <w:t xml:space="preserve"> und </w:t>
            </w:r>
            <w:proofErr w:type="spellStart"/>
            <w:r>
              <w:rPr>
                <w:rFonts w:ascii="TimesNewRomanPSMT" w:hAnsi="TimesNewRomanPSMT"/>
              </w:rPr>
              <w:t>Schüler</w:t>
            </w:r>
            <w:proofErr w:type="spellEnd"/>
            <w:r>
              <w:rPr>
                <w:rFonts w:ascii="TimesNewRomanPSMT" w:hAnsi="TimesNewRomanPSMT"/>
              </w:rPr>
              <w:t xml:space="preserve"> ihr Service- und Kommunikationsverhalten im </w:t>
            </w:r>
            <w:proofErr w:type="spellStart"/>
            <w:r>
              <w:rPr>
                <w:rFonts w:ascii="TimesNewRomanPSMT" w:hAnsi="TimesNewRomanPSMT"/>
              </w:rPr>
              <w:t>Beratungsgespräch</w:t>
            </w:r>
            <w:proofErr w:type="spellEnd"/>
            <w:r>
              <w:rPr>
                <w:rFonts w:ascii="TimesNewRomanPSMT" w:hAnsi="TimesNewRomanPSMT"/>
              </w:rPr>
              <w:t xml:space="preserve"> und holen sich ein Kundenfeedback ein. </w:t>
            </w:r>
          </w:p>
        </w:tc>
      </w:tr>
    </w:tbl>
    <w:p w14:paraId="146C3F5F" w14:textId="77777777" w:rsidR="005F408F" w:rsidRPr="00850CC4" w:rsidRDefault="005F408F" w:rsidP="00781367">
      <w:pPr>
        <w:spacing w:before="0" w:after="0"/>
        <w:jc w:val="left"/>
      </w:pPr>
    </w:p>
    <w:p w14:paraId="17C7E44C" w14:textId="77777777" w:rsidR="005F408F" w:rsidRPr="00850CC4" w:rsidRDefault="005F408F" w:rsidP="00A9795B">
      <w:pPr>
        <w:spacing w:before="0" w:after="240"/>
        <w:jc w:val="left"/>
        <w:rPr>
          <w:sz w:val="28"/>
          <w:szCs w:val="28"/>
        </w:rPr>
      </w:pPr>
      <w:r w:rsidRPr="00850CC4">
        <w:rPr>
          <w:b/>
          <w:bCs/>
        </w:rP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6BD81A70"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1988749E" w14:textId="77777777" w:rsidTr="006D3A19">
              <w:tc>
                <w:tcPr>
                  <w:tcW w:w="14572" w:type="dxa"/>
                  <w:gridSpan w:val="2"/>
                </w:tcPr>
                <w:p w14:paraId="6A8E07B5" w14:textId="2450386F" w:rsidR="00FF32F3" w:rsidRPr="00FF53F1" w:rsidRDefault="003E7DB7" w:rsidP="00FF32F3">
                  <w:pPr>
                    <w:pStyle w:val="Tabellentext"/>
                    <w:spacing w:before="60" w:after="60"/>
                    <w:rPr>
                      <w:b/>
                    </w:rPr>
                  </w:pPr>
                  <w:r>
                    <w:rPr>
                      <w:b/>
                    </w:rPr>
                    <w:lastRenderedPageBreak/>
                    <w:t xml:space="preserve">2. </w:t>
                  </w:r>
                  <w:r w:rsidR="00FF32F3" w:rsidRPr="00FF53F1">
                    <w:rPr>
                      <w:b/>
                    </w:rPr>
                    <w:t>Ausbildungsjahr</w:t>
                  </w:r>
                </w:p>
                <w:p w14:paraId="65CA8B42" w14:textId="17AECD3C" w:rsidR="00FF32F3" w:rsidRPr="00FF53F1" w:rsidRDefault="00FF32F3" w:rsidP="00FF32F3">
                  <w:pPr>
                    <w:pStyle w:val="Tabellentext"/>
                    <w:tabs>
                      <w:tab w:val="left" w:pos="2098"/>
                    </w:tabs>
                    <w:spacing w:before="60" w:after="60"/>
                  </w:pPr>
                  <w:r w:rsidRPr="00FF53F1">
                    <w:rPr>
                      <w:b/>
                    </w:rPr>
                    <w:t>Bündelungsfach:</w:t>
                  </w:r>
                  <w:r w:rsidRPr="00FF53F1">
                    <w:tab/>
                  </w:r>
                  <w:r w:rsidR="004E740D">
                    <w:t>Versicherungs- und Finanzanlagenprozesse</w:t>
                  </w:r>
                </w:p>
                <w:p w14:paraId="264D6162" w14:textId="22D22B33" w:rsidR="00FF32F3" w:rsidRPr="00FF53F1" w:rsidRDefault="00FF32F3" w:rsidP="004E740D">
                  <w:pPr>
                    <w:pStyle w:val="Tabellentext"/>
                    <w:tabs>
                      <w:tab w:val="left" w:pos="2098"/>
                    </w:tabs>
                    <w:spacing w:before="60" w:after="60"/>
                  </w:pPr>
                  <w:r w:rsidRPr="00FF53F1">
                    <w:rPr>
                      <w:b/>
                    </w:rPr>
                    <w:t xml:space="preserve">Lernfeld </w:t>
                  </w:r>
                  <w:r w:rsidR="004E740D" w:rsidRPr="000F55CF">
                    <w:rPr>
                      <w:b/>
                    </w:rPr>
                    <w:t>7</w:t>
                  </w:r>
                  <w:r w:rsidR="004E740D">
                    <w:t>:</w:t>
                  </w:r>
                  <w:r w:rsidR="003E7DB7">
                    <w:tab/>
                  </w:r>
                  <w:r w:rsidR="004E740D">
                    <w:t>Kunden im Bedarfsfeld Arbeitskraft beraten</w:t>
                  </w:r>
                  <w:r w:rsidR="003E7DB7">
                    <w:t xml:space="preserve"> (60</w:t>
                  </w:r>
                  <w:r w:rsidR="003E7DB7" w:rsidRPr="000333BB">
                    <w:t xml:space="preserve"> UStd.)</w:t>
                  </w:r>
                </w:p>
                <w:p w14:paraId="019DB07E" w14:textId="7646EBCE" w:rsidR="00FF32F3" w:rsidRPr="00FF53F1" w:rsidRDefault="00FF32F3" w:rsidP="003E7DB7">
                  <w:pPr>
                    <w:pStyle w:val="Tabellentext"/>
                    <w:tabs>
                      <w:tab w:val="left" w:pos="2098"/>
                    </w:tabs>
                    <w:spacing w:before="60" w:after="60"/>
                    <w:ind w:left="2098" w:hanging="2098"/>
                  </w:pPr>
                  <w:r w:rsidRPr="00FF53F1">
                    <w:rPr>
                      <w:b/>
                    </w:rPr>
                    <w:t xml:space="preserve">Lernsituation </w:t>
                  </w:r>
                  <w:r w:rsidR="004E740D" w:rsidRPr="000F55CF">
                    <w:rPr>
                      <w:b/>
                    </w:rPr>
                    <w:t>7.1</w:t>
                  </w:r>
                  <w:r w:rsidR="00157AD3">
                    <w:t>:</w:t>
                  </w:r>
                  <w:r w:rsidR="003E7DB7">
                    <w:tab/>
                  </w:r>
                  <w:r w:rsidR="004E740D">
                    <w:t>Analyse der fallbezogenen Risiken und deren gesetzliche Absicherung inkl. Ermittlung einer Versorgungslücke</w:t>
                  </w:r>
                  <w:r w:rsidR="003E7DB7">
                    <w:t xml:space="preserve"> (10 UStd.)</w:t>
                  </w:r>
                  <w:r w:rsidR="004E740D" w:rsidRPr="00FF53F1">
                    <w:t xml:space="preserve"> </w:t>
                  </w:r>
                </w:p>
              </w:tc>
            </w:tr>
            <w:tr w:rsidR="00FF32F3" w:rsidRPr="00FF53F1" w14:paraId="3A8C7280" w14:textId="77777777" w:rsidTr="006D3A19">
              <w:trPr>
                <w:trHeight w:val="1814"/>
              </w:trPr>
              <w:tc>
                <w:tcPr>
                  <w:tcW w:w="7299" w:type="dxa"/>
                </w:tcPr>
                <w:p w14:paraId="22EE96A3" w14:textId="77777777" w:rsidR="00FF32F3" w:rsidRPr="00FF53F1" w:rsidRDefault="00FF32F3" w:rsidP="00FF32F3">
                  <w:pPr>
                    <w:pStyle w:val="Tabellenberschrift"/>
                    <w:tabs>
                      <w:tab w:val="clear" w:pos="1985"/>
                      <w:tab w:val="clear" w:pos="3402"/>
                    </w:tabs>
                  </w:pPr>
                  <w:r w:rsidRPr="00FF53F1">
                    <w:t xml:space="preserve">Einstiegsszenario </w:t>
                  </w:r>
                </w:p>
                <w:p w14:paraId="3615A3E6" w14:textId="0DD9F60F" w:rsidR="00FF32F3" w:rsidRPr="00FF53F1" w:rsidRDefault="004E740D" w:rsidP="00FF32F3">
                  <w:pPr>
                    <w:pStyle w:val="Tabellentext"/>
                    <w:spacing w:before="0"/>
                  </w:pPr>
                  <w:r>
                    <w:t>Ihr Kunde Lars Meier</w:t>
                  </w:r>
                  <w:r w:rsidR="00A17E92">
                    <w:t xml:space="preserve"> ruft Sie aufgeregt an, da ein Arbeitskollege in der Kantine einen Unfall erlitten hat und dieser nun in finanzielle Schwierigkeiten geraten ist, zumal er seinen Beruf voraussichtlich nicht mehr ausüben kann. Die gesetzliche Unfallversicherung verweigert angeblich die Leistung. </w:t>
                  </w:r>
                </w:p>
                <w:p w14:paraId="773D84FB" w14:textId="77777777" w:rsidR="00FF32F3" w:rsidRPr="00FF53F1" w:rsidRDefault="00FF32F3" w:rsidP="00FF32F3">
                  <w:pPr>
                    <w:pStyle w:val="Tabellentext"/>
                    <w:spacing w:before="0"/>
                  </w:pPr>
                </w:p>
              </w:tc>
              <w:tc>
                <w:tcPr>
                  <w:tcW w:w="7273" w:type="dxa"/>
                </w:tcPr>
                <w:p w14:paraId="0E239237" w14:textId="77777777" w:rsidR="00FF32F3" w:rsidRPr="00FF53F1" w:rsidRDefault="00FF32F3" w:rsidP="00FF32F3">
                  <w:pPr>
                    <w:pStyle w:val="Tabellenberschrift"/>
                  </w:pPr>
                  <w:r w:rsidRPr="00FF53F1">
                    <w:t>Handlungsprodukt/Lernergebnis</w:t>
                  </w:r>
                </w:p>
                <w:p w14:paraId="4327EFBC" w14:textId="77777777" w:rsidR="003E7DB7" w:rsidRDefault="00882605" w:rsidP="003E7DB7">
                  <w:pPr>
                    <w:pStyle w:val="Tabellenspiegelstrich"/>
                  </w:pPr>
                  <w:r>
                    <w:t>Handout zu den Grundlagen der Leistungsansprüche aus der GUV bzw. GRV</w:t>
                  </w:r>
                </w:p>
                <w:p w14:paraId="05ACF35E" w14:textId="0D1D969E" w:rsidR="00FF32F3" w:rsidRDefault="00A33637" w:rsidP="003E7DB7">
                  <w:pPr>
                    <w:pStyle w:val="Tabellenspiegelstrich"/>
                  </w:pPr>
                  <w:r>
                    <w:t>Umfangreiches Fachwissen zum Leistungsanspruch aus der GUV bzw. GRV</w:t>
                  </w:r>
                </w:p>
                <w:p w14:paraId="0D2C3C7A" w14:textId="36918151" w:rsidR="00E84A8F" w:rsidRDefault="00EB3BD7" w:rsidP="003E7DB7">
                  <w:pPr>
                    <w:pStyle w:val="Tabellenspiegelstrich"/>
                  </w:pPr>
                  <w:r>
                    <w:t xml:space="preserve">Schriftliche </w:t>
                  </w:r>
                  <w:r w:rsidR="0098692C">
                    <w:t xml:space="preserve">Darstellung </w:t>
                  </w:r>
                  <w:r w:rsidR="00A33637">
                    <w:t>einer möglichen Versorgungslücke bei Verlust der Arbeitskraft</w:t>
                  </w:r>
                </w:p>
                <w:p w14:paraId="6A74D61E" w14:textId="4A0250DF" w:rsidR="00157AD3" w:rsidRDefault="00EB3BD7" w:rsidP="003E7DB7">
                  <w:pPr>
                    <w:pStyle w:val="Tabellenspiegelstrich"/>
                  </w:pPr>
                  <w:r>
                    <w:t xml:space="preserve">Übersicht zur </w:t>
                  </w:r>
                  <w:r w:rsidR="00157AD3">
                    <w:t>Berechnung der Leistungen mittels Onlinerechner</w:t>
                  </w:r>
                </w:p>
                <w:p w14:paraId="60A6D587" w14:textId="2865D739" w:rsidR="00E84A8F" w:rsidRPr="00FF53F1" w:rsidRDefault="00E84A8F" w:rsidP="003E7DB7">
                  <w:pPr>
                    <w:pStyle w:val="Tabellenspiegelstrich"/>
                  </w:pPr>
                  <w:r>
                    <w:t xml:space="preserve">Handout (zwecks Einsatz </w:t>
                  </w:r>
                  <w:r w:rsidR="00A014FF">
                    <w:t>bei der Kundin/</w:t>
                  </w:r>
                  <w:r>
                    <w:t>beim Kunden)</w:t>
                  </w:r>
                </w:p>
                <w:p w14:paraId="57011724" w14:textId="77777777" w:rsidR="00FF32F3" w:rsidRPr="00FF53F1" w:rsidRDefault="00FF32F3" w:rsidP="00FF32F3">
                  <w:pPr>
                    <w:pStyle w:val="Tabellentext"/>
                    <w:spacing w:before="0"/>
                  </w:pPr>
                </w:p>
                <w:p w14:paraId="5FE1B08B" w14:textId="6CA6B8FB" w:rsidR="00FF32F3" w:rsidRDefault="00FF32F3" w:rsidP="00FF32F3">
                  <w:pPr>
                    <w:pStyle w:val="Tabellenberschrift"/>
                  </w:pPr>
                  <w:r w:rsidRPr="00FF53F1">
                    <w:t>Hinweise zur Lernerfolgsüberprüfung und Leistungsbewertung</w:t>
                  </w:r>
                </w:p>
                <w:p w14:paraId="7EA8FCE9" w14:textId="7B59F48B" w:rsidR="004E7059" w:rsidRDefault="004E7059" w:rsidP="003E7DB7">
                  <w:pPr>
                    <w:pStyle w:val="Tabellenspiegelstrich"/>
                    <w:rPr>
                      <w:b/>
                    </w:rPr>
                  </w:pPr>
                  <w:r>
                    <w:t>Kriterienorientierte Bewertung der Arbeitsprozesse</w:t>
                  </w:r>
                </w:p>
                <w:p w14:paraId="30FED05E" w14:textId="4507806B" w:rsidR="004E7059" w:rsidRPr="004E7059" w:rsidRDefault="004E7059" w:rsidP="003E7DB7">
                  <w:pPr>
                    <w:pStyle w:val="Tabellenspiegelstrich"/>
                    <w:rPr>
                      <w:b/>
                    </w:rPr>
                  </w:pPr>
                  <w:r>
                    <w:t>Kriterienorientierte Bewertung der Handouts</w:t>
                  </w:r>
                </w:p>
              </w:tc>
            </w:tr>
            <w:tr w:rsidR="00FF32F3" w:rsidRPr="00FF53F1" w14:paraId="4EC16314" w14:textId="77777777" w:rsidTr="000F55CF">
              <w:trPr>
                <w:trHeight w:val="557"/>
              </w:trPr>
              <w:tc>
                <w:tcPr>
                  <w:tcW w:w="7299" w:type="dxa"/>
                </w:tcPr>
                <w:p w14:paraId="391175DD" w14:textId="77777777" w:rsidR="00FF32F3" w:rsidRPr="00FF53F1" w:rsidRDefault="00FF32F3" w:rsidP="00FF32F3">
                  <w:pPr>
                    <w:pStyle w:val="Tabellenberschrift"/>
                    <w:tabs>
                      <w:tab w:val="clear" w:pos="1985"/>
                      <w:tab w:val="clear" w:pos="3402"/>
                    </w:tabs>
                  </w:pPr>
                  <w:r w:rsidRPr="00FF53F1">
                    <w:t>Wesentliche Kompetenzen</w:t>
                  </w:r>
                </w:p>
                <w:p w14:paraId="343CC25D" w14:textId="77777777" w:rsidR="001A6680" w:rsidRDefault="003B57D3" w:rsidP="003B57D3">
                  <w:pPr>
                    <w:pStyle w:val="StandardWeb"/>
                    <w:rPr>
                      <w:rFonts w:ascii="TimesNewRomanPSMT" w:hAnsi="TimesNewRomanPSMT"/>
                    </w:rPr>
                  </w:pPr>
                  <w:r w:rsidRPr="00E8528B">
                    <w:rPr>
                      <w:rFonts w:ascii="TimesNewRomanPSMT" w:hAnsi="TimesNewRomanPSMT"/>
                    </w:rPr>
                    <w:t xml:space="preserve">Die Schülerinnen und Schüler </w:t>
                  </w:r>
                </w:p>
                <w:p w14:paraId="75A3D9AC" w14:textId="13EF8D37" w:rsidR="001A6680" w:rsidRPr="001A6680" w:rsidRDefault="003B57D3" w:rsidP="006D0728">
                  <w:pPr>
                    <w:pStyle w:val="Tabellenspiegelstrich"/>
                  </w:pPr>
                  <w:r w:rsidRPr="00D931A2">
                    <w:rPr>
                      <w:rFonts w:ascii="TimesNewRomanPS" w:hAnsi="TimesNewRomanPS"/>
                      <w:bCs/>
                    </w:rPr>
                    <w:t xml:space="preserve">analysieren </w:t>
                  </w:r>
                  <w:r w:rsidRPr="00E8528B">
                    <w:t>fallbezogene Risiken im Beruf, in der Schule und in der Freizeit, die die Arbeitskraft der Kundinnen und Kunden gefährden</w:t>
                  </w:r>
                  <w:r w:rsidR="00EB3BD7">
                    <w:t>.</w:t>
                  </w:r>
                  <w:r w:rsidRPr="00E8528B">
                    <w:t xml:space="preserve"> </w:t>
                  </w:r>
                </w:p>
                <w:p w14:paraId="235CC3D2" w14:textId="7FB9A410" w:rsidR="001A6680" w:rsidRPr="00A33637" w:rsidRDefault="003B57D3" w:rsidP="006D0728">
                  <w:pPr>
                    <w:pStyle w:val="Tabellenspiegelstrich"/>
                  </w:pPr>
                  <w:r w:rsidRPr="00D931A2">
                    <w:rPr>
                      <w:bCs/>
                    </w:rPr>
                    <w:t>unterscheiden</w:t>
                  </w:r>
                  <w:r w:rsidRPr="00A33637">
                    <w:t xml:space="preserve"> zwischen Arbeits- und Berufsunfähigkeit, Erwerbsminderung sowie Invalidität infolge von (Berufs-) Krankheiten und Arbeits-/</w:t>
                  </w:r>
                  <w:proofErr w:type="spellStart"/>
                  <w:r w:rsidRPr="00A33637">
                    <w:t>Wegeunfällen</w:t>
                  </w:r>
                  <w:proofErr w:type="spellEnd"/>
                </w:p>
                <w:p w14:paraId="6B600558" w14:textId="174BFE63" w:rsidR="001A6680" w:rsidRPr="006D0728" w:rsidRDefault="003B57D3" w:rsidP="006D0728">
                  <w:pPr>
                    <w:pStyle w:val="Tabellenspiegelstrich"/>
                    <w:rPr>
                      <w:rStyle w:val="LSblau"/>
                    </w:rPr>
                  </w:pPr>
                  <w:r w:rsidRPr="006D0728">
                    <w:rPr>
                      <w:rStyle w:val="LSblau"/>
                    </w:rPr>
                    <w:t>informieren sich in den entsprechenden Rechtsgrundlagen (Sozialgesetzbuch</w:t>
                  </w:r>
                  <w:r w:rsidR="001A6680" w:rsidRPr="006D0728">
                    <w:rPr>
                      <w:rStyle w:val="LSblau"/>
                    </w:rPr>
                    <w:t>)</w:t>
                  </w:r>
                </w:p>
                <w:p w14:paraId="5274FFC7" w14:textId="4867A5F3" w:rsidR="003B57D3" w:rsidRPr="00E84A8F" w:rsidRDefault="003B57D3" w:rsidP="006D0728">
                  <w:pPr>
                    <w:pStyle w:val="Tabellenspiegelstrich"/>
                    <w:rPr>
                      <w:rFonts w:ascii="TimesNewRomanPSMT" w:hAnsi="TimesNewRomanPSMT"/>
                    </w:rPr>
                  </w:pPr>
                  <w:r w:rsidRPr="00D931A2">
                    <w:rPr>
                      <w:bCs/>
                    </w:rPr>
                    <w:t>berechnen</w:t>
                  </w:r>
                  <w:r w:rsidRPr="00A33637">
                    <w:t xml:space="preserve"> die Leistungen und ermitteln Versorgungslücken</w:t>
                  </w:r>
                  <w:r w:rsidR="005733D3">
                    <w:t xml:space="preserve"> analog und </w:t>
                  </w:r>
                  <w:r w:rsidR="005733D3" w:rsidRPr="000F55CF">
                    <w:rPr>
                      <w:color w:val="4CB848"/>
                    </w:rPr>
                    <w:t>mittels Onlinerechner</w:t>
                  </w:r>
                </w:p>
                <w:p w14:paraId="6F84A89A" w14:textId="4841718A" w:rsidR="00E84A8F" w:rsidRPr="006D0728" w:rsidRDefault="00E84A8F" w:rsidP="006D0728">
                  <w:pPr>
                    <w:pStyle w:val="Tabellenspiegelstrich"/>
                    <w:rPr>
                      <w:rStyle w:val="LSblau"/>
                    </w:rPr>
                  </w:pPr>
                  <w:r w:rsidRPr="006D0728">
                    <w:rPr>
                      <w:rStyle w:val="LSblau"/>
                    </w:rPr>
                    <w:t xml:space="preserve">erstellen ein Handout (zwecks Einsatz </w:t>
                  </w:r>
                  <w:r w:rsidR="00BF616F" w:rsidRPr="006D0728">
                    <w:rPr>
                      <w:rStyle w:val="LSblau"/>
                    </w:rPr>
                    <w:t>bei der Kundin/</w:t>
                  </w:r>
                  <w:r w:rsidRPr="006D0728">
                    <w:rPr>
                      <w:rStyle w:val="LSblau"/>
                    </w:rPr>
                    <w:t>beim Kunden)</w:t>
                  </w:r>
                  <w:r w:rsidR="00EB3BD7" w:rsidRPr="006D0728">
                    <w:rPr>
                      <w:rStyle w:val="LSblau"/>
                    </w:rPr>
                    <w:t>.</w:t>
                  </w:r>
                </w:p>
                <w:p w14:paraId="202605D8" w14:textId="23FE18F3" w:rsidR="001A6680" w:rsidRPr="00A33637" w:rsidRDefault="001A6680" w:rsidP="006D0728">
                  <w:pPr>
                    <w:pStyle w:val="Tabellenspiegelstrich"/>
                  </w:pPr>
                  <w:r w:rsidRPr="00D931A2">
                    <w:rPr>
                      <w:bCs/>
                    </w:rPr>
                    <w:t>ermitteln</w:t>
                  </w:r>
                  <w:r w:rsidRPr="00A33637">
                    <w:rPr>
                      <w:b/>
                      <w:bCs/>
                    </w:rPr>
                    <w:t xml:space="preserve"> </w:t>
                  </w:r>
                  <w:r w:rsidRPr="00A33637">
                    <w:t>die Kundenbedarfe</w:t>
                  </w:r>
                </w:p>
                <w:p w14:paraId="019028D5" w14:textId="72827F1E" w:rsidR="00E84A8F" w:rsidRPr="006D0728" w:rsidRDefault="003B57D3" w:rsidP="006D0728">
                  <w:pPr>
                    <w:pStyle w:val="Tabellenspiegelstrich"/>
                    <w:rPr>
                      <w:rStyle w:val="LSblau"/>
                    </w:rPr>
                  </w:pPr>
                  <w:r w:rsidRPr="006D0728">
                    <w:rPr>
                      <w:rStyle w:val="LSblau"/>
                    </w:rPr>
                    <w:lastRenderedPageBreak/>
                    <w:t xml:space="preserve">erfassen </w:t>
                  </w:r>
                  <w:r w:rsidR="00534262" w:rsidRPr="006D0728">
                    <w:rPr>
                      <w:rStyle w:val="LSblau"/>
                    </w:rPr>
                    <w:t xml:space="preserve">risikorelevante Daten </w:t>
                  </w:r>
                  <w:r w:rsidRPr="006D0728">
                    <w:rPr>
                      <w:rStyle w:val="LSblau"/>
                    </w:rPr>
                    <w:t>von den Kundinnen und Kunden und deren Familienangeh</w:t>
                  </w:r>
                  <w:r w:rsidRPr="006D0728">
                    <w:rPr>
                      <w:rStyle w:val="LSblau"/>
                      <w:rFonts w:hint="eastAsia"/>
                    </w:rPr>
                    <w:t>ö</w:t>
                  </w:r>
                  <w:r w:rsidRPr="006D0728">
                    <w:rPr>
                      <w:rStyle w:val="LSblau"/>
                    </w:rPr>
                    <w:t>rigen (</w:t>
                  </w:r>
                  <w:proofErr w:type="spellStart"/>
                  <w:r w:rsidRPr="006D0728">
                    <w:rPr>
                      <w:rStyle w:val="LSblau"/>
                    </w:rPr>
                    <w:t>persönliche</w:t>
                  </w:r>
                  <w:proofErr w:type="spellEnd"/>
                  <w:r w:rsidRPr="006D0728">
                    <w:rPr>
                      <w:rStyle w:val="LSblau"/>
                    </w:rPr>
                    <w:t xml:space="preserve"> und berufliche Verh</w:t>
                  </w:r>
                  <w:r w:rsidRPr="006D0728">
                    <w:rPr>
                      <w:rStyle w:val="LSblau"/>
                      <w:rFonts w:hint="eastAsia"/>
                    </w:rPr>
                    <w:t>ä</w:t>
                  </w:r>
                  <w:r w:rsidRPr="006D0728">
                    <w:rPr>
                      <w:rStyle w:val="LSblau"/>
                    </w:rPr>
                    <w:t>ltnisse</w:t>
                  </w:r>
                  <w:r w:rsidR="00534262" w:rsidRPr="006D0728">
                    <w:rPr>
                      <w:rStyle w:val="LSblau"/>
                    </w:rPr>
                    <w:t>)</w:t>
                  </w:r>
                  <w:r w:rsidR="00EB3BD7" w:rsidRPr="006D0728">
                    <w:rPr>
                      <w:rStyle w:val="LSblau"/>
                    </w:rPr>
                    <w:t>.</w:t>
                  </w:r>
                </w:p>
              </w:tc>
              <w:tc>
                <w:tcPr>
                  <w:tcW w:w="7273" w:type="dxa"/>
                </w:tcPr>
                <w:p w14:paraId="127B3312" w14:textId="77777777" w:rsidR="00FF32F3" w:rsidRPr="00FF53F1" w:rsidRDefault="00FF32F3" w:rsidP="00FF32F3">
                  <w:pPr>
                    <w:pStyle w:val="Tabellenberschrift"/>
                    <w:tabs>
                      <w:tab w:val="clear" w:pos="1985"/>
                      <w:tab w:val="clear" w:pos="3402"/>
                    </w:tabs>
                  </w:pPr>
                  <w:r w:rsidRPr="00FF53F1">
                    <w:lastRenderedPageBreak/>
                    <w:t>Konkretisierung der Inhalte</w:t>
                  </w:r>
                </w:p>
                <w:p w14:paraId="1B62FC27" w14:textId="3318D860" w:rsidR="00FF32F3" w:rsidRDefault="00A17E92" w:rsidP="00FF32F3">
                  <w:pPr>
                    <w:pStyle w:val="Tabellenspiegelstrich"/>
                  </w:pPr>
                  <w:r>
                    <w:t>Gesetzliche Unfall</w:t>
                  </w:r>
                  <w:r w:rsidR="00BF616F">
                    <w:t>versicherung</w:t>
                  </w:r>
                </w:p>
                <w:p w14:paraId="29975595" w14:textId="209D4F19" w:rsidR="00A17E92" w:rsidRPr="006D0728" w:rsidRDefault="00A17E92" w:rsidP="006D0728">
                  <w:pPr>
                    <w:pStyle w:val="Tabellenspiegelstrich"/>
                    <w:numPr>
                      <w:ilvl w:val="1"/>
                      <w:numId w:val="30"/>
                    </w:numPr>
                    <w:ind w:left="680" w:hanging="340"/>
                  </w:pPr>
                  <w:r>
                    <w:t>Tr</w:t>
                  </w:r>
                  <w:r w:rsidRPr="006D0728">
                    <w:t>äger</w:t>
                  </w:r>
                </w:p>
                <w:p w14:paraId="6D81177A" w14:textId="1C58C9AF" w:rsidR="00A17E92" w:rsidRPr="006D0728" w:rsidRDefault="00A17E92" w:rsidP="006D0728">
                  <w:pPr>
                    <w:pStyle w:val="Tabellenspiegelstrich"/>
                    <w:numPr>
                      <w:ilvl w:val="1"/>
                      <w:numId w:val="30"/>
                    </w:numPr>
                    <w:ind w:left="680" w:hanging="340"/>
                  </w:pPr>
                  <w:r w:rsidRPr="006D0728">
                    <w:t xml:space="preserve">Unfallbegriff </w:t>
                  </w:r>
                  <w:r w:rsidR="003B57D3" w:rsidRPr="006D0728">
                    <w:t>(anhand konkreter Fälle)</w:t>
                  </w:r>
                </w:p>
                <w:p w14:paraId="0B6A0525" w14:textId="04127B4E" w:rsidR="00A17E92" w:rsidRPr="006D0728" w:rsidRDefault="00A17E92" w:rsidP="006D0728">
                  <w:pPr>
                    <w:pStyle w:val="Tabellenspiegelstrich"/>
                    <w:numPr>
                      <w:ilvl w:val="1"/>
                      <w:numId w:val="30"/>
                    </w:numPr>
                    <w:ind w:left="680" w:hanging="340"/>
                  </w:pPr>
                  <w:r w:rsidRPr="006D0728">
                    <w:t>Geltungsbereich</w:t>
                  </w:r>
                </w:p>
                <w:p w14:paraId="54111AC1" w14:textId="76EA9F9E" w:rsidR="00A17E92" w:rsidRPr="006D0728" w:rsidRDefault="00A17E92" w:rsidP="006D0728">
                  <w:pPr>
                    <w:pStyle w:val="Tabellenspiegelstrich"/>
                    <w:numPr>
                      <w:ilvl w:val="1"/>
                      <w:numId w:val="30"/>
                    </w:numPr>
                    <w:ind w:left="680" w:hanging="340"/>
                  </w:pPr>
                  <w:r w:rsidRPr="006D0728">
                    <w:t>Versicherte Personen</w:t>
                  </w:r>
                </w:p>
                <w:p w14:paraId="21FA5614" w14:textId="53FAB47C" w:rsidR="00A17E92" w:rsidRPr="006D0728" w:rsidRDefault="00A17E92" w:rsidP="006D0728">
                  <w:pPr>
                    <w:pStyle w:val="Tabellenspiegelstrich"/>
                    <w:numPr>
                      <w:ilvl w:val="1"/>
                      <w:numId w:val="30"/>
                    </w:numPr>
                    <w:ind w:left="680" w:hanging="340"/>
                  </w:pPr>
                  <w:r w:rsidRPr="006D0728">
                    <w:t>Leistungsarten</w:t>
                  </w:r>
                </w:p>
                <w:p w14:paraId="53EAEC5C" w14:textId="4DF04088" w:rsidR="00A17E92" w:rsidRPr="006D0728" w:rsidRDefault="00A17E92" w:rsidP="006D0728">
                  <w:pPr>
                    <w:pStyle w:val="Tabellenspiegelstrich"/>
                    <w:numPr>
                      <w:ilvl w:val="1"/>
                      <w:numId w:val="30"/>
                    </w:numPr>
                    <w:ind w:left="680" w:hanging="340"/>
                  </w:pPr>
                  <w:r w:rsidRPr="006D0728">
                    <w:t>Leistungshöhe</w:t>
                  </w:r>
                </w:p>
                <w:p w14:paraId="3DF989A6" w14:textId="15CA0C2D" w:rsidR="00A17E92" w:rsidRPr="00FF53F1" w:rsidRDefault="00A17E92" w:rsidP="006D0728">
                  <w:pPr>
                    <w:pStyle w:val="Tabellenspiegelstrich"/>
                    <w:numPr>
                      <w:ilvl w:val="1"/>
                      <w:numId w:val="30"/>
                    </w:numPr>
                    <w:ind w:left="680" w:hanging="340"/>
                  </w:pPr>
                  <w:r w:rsidRPr="006D0728">
                    <w:t>Beit</w:t>
                  </w:r>
                  <w:r>
                    <w:t>ragszahlung</w:t>
                  </w:r>
                </w:p>
                <w:p w14:paraId="1F0122E8" w14:textId="05B67AFF" w:rsidR="00FF32F3" w:rsidRDefault="003B57D3" w:rsidP="003B57D3">
                  <w:pPr>
                    <w:pStyle w:val="Tabellenspiegelstrich"/>
                  </w:pPr>
                  <w:r>
                    <w:t>Gesetzliche Rentenversicherung</w:t>
                  </w:r>
                </w:p>
                <w:p w14:paraId="4499336C" w14:textId="17C3D04C" w:rsidR="003B57D3" w:rsidRDefault="003B57D3" w:rsidP="006D0728">
                  <w:pPr>
                    <w:pStyle w:val="Tabellenspiegelstrich"/>
                    <w:numPr>
                      <w:ilvl w:val="1"/>
                      <w:numId w:val="30"/>
                    </w:numPr>
                    <w:ind w:left="680" w:hanging="340"/>
                  </w:pPr>
                  <w:r>
                    <w:t>Erwerbsminderungsrente (volle/halbe; Definition EU)</w:t>
                  </w:r>
                </w:p>
                <w:p w14:paraId="6D722E82" w14:textId="516D5F00" w:rsidR="003B57D3" w:rsidRDefault="003B57D3" w:rsidP="006D0728">
                  <w:pPr>
                    <w:pStyle w:val="Tabellenspiegelstrich"/>
                    <w:numPr>
                      <w:ilvl w:val="1"/>
                      <w:numId w:val="30"/>
                    </w:numPr>
                    <w:ind w:left="680" w:hanging="340"/>
                  </w:pPr>
                  <w:r>
                    <w:t>Voraussetzungen</w:t>
                  </w:r>
                </w:p>
                <w:p w14:paraId="6BE266BA" w14:textId="1E3D25A4" w:rsidR="003B57D3" w:rsidRDefault="003B57D3" w:rsidP="006D0728">
                  <w:pPr>
                    <w:pStyle w:val="Tabellenspiegelstrich"/>
                    <w:numPr>
                      <w:ilvl w:val="1"/>
                      <w:numId w:val="30"/>
                    </w:numPr>
                    <w:ind w:left="680" w:hanging="340"/>
                  </w:pPr>
                  <w:r>
                    <w:t>zu erwartende Rentenhöhe</w:t>
                  </w:r>
                </w:p>
                <w:p w14:paraId="4A0E1589" w14:textId="5B31A2F4" w:rsidR="003B57D3" w:rsidRDefault="003B57D3" w:rsidP="003B57D3">
                  <w:pPr>
                    <w:pStyle w:val="Tabellenspiegelstrich"/>
                  </w:pPr>
                  <w:r>
                    <w:t xml:space="preserve">Versorgungslücke </w:t>
                  </w:r>
                </w:p>
                <w:p w14:paraId="3F703581" w14:textId="58EB5578" w:rsidR="003B57D3" w:rsidRPr="00FF53F1" w:rsidRDefault="003B57D3" w:rsidP="003B57D3">
                  <w:pPr>
                    <w:pStyle w:val="Tabellenspiegelstrich"/>
                  </w:pPr>
                  <w:r>
                    <w:lastRenderedPageBreak/>
                    <w:t>Ermittlung Kundenbedarf inkl. Datenerfassung (z.B. Familienstand, Wohnsituation)</w:t>
                  </w:r>
                </w:p>
              </w:tc>
            </w:tr>
            <w:tr w:rsidR="00FF32F3" w:rsidRPr="00FF53F1" w14:paraId="557D32F2" w14:textId="77777777" w:rsidTr="006D3A19">
              <w:trPr>
                <w:trHeight w:val="964"/>
              </w:trPr>
              <w:tc>
                <w:tcPr>
                  <w:tcW w:w="14572" w:type="dxa"/>
                  <w:gridSpan w:val="2"/>
                </w:tcPr>
                <w:p w14:paraId="6C02C3E4" w14:textId="77777777" w:rsidR="00FF32F3" w:rsidRPr="00FF53F1" w:rsidRDefault="00FF32F3" w:rsidP="00FF32F3">
                  <w:pPr>
                    <w:pStyle w:val="Tabellenberschrift"/>
                    <w:tabs>
                      <w:tab w:val="clear" w:pos="1985"/>
                      <w:tab w:val="clear" w:pos="3402"/>
                    </w:tabs>
                  </w:pPr>
                  <w:r w:rsidRPr="00FF53F1">
                    <w:lastRenderedPageBreak/>
                    <w:t>Lern- und Arbeitstechniken</w:t>
                  </w:r>
                </w:p>
                <w:p w14:paraId="332E45A9" w14:textId="11333984" w:rsidR="00636AB8" w:rsidRDefault="00636AB8" w:rsidP="00A47379">
                  <w:pPr>
                    <w:pStyle w:val="Tabellenspiegelstrich"/>
                  </w:pPr>
                  <w:r>
                    <w:t>Einzel- und Partnerarbeit</w:t>
                  </w:r>
                </w:p>
                <w:p w14:paraId="75323D9D" w14:textId="70CB918F" w:rsidR="00636AB8" w:rsidRDefault="00636AB8" w:rsidP="00A47379">
                  <w:pPr>
                    <w:pStyle w:val="Tabellenspiegelstrich"/>
                  </w:pPr>
                  <w:r>
                    <w:t>Internetrecherche</w:t>
                  </w:r>
                </w:p>
                <w:p w14:paraId="4BFD74F8" w14:textId="5CF8D987" w:rsidR="00FF32F3" w:rsidRPr="005733D3" w:rsidRDefault="00636AB8" w:rsidP="00A47379">
                  <w:pPr>
                    <w:pStyle w:val="Tabellenspiegelstrich"/>
                  </w:pPr>
                  <w:r>
                    <w:t>Präsentation der Ergebnisse in analoger oder digitaler Form</w:t>
                  </w:r>
                </w:p>
              </w:tc>
            </w:tr>
            <w:tr w:rsidR="00FF32F3" w:rsidRPr="00FF53F1" w14:paraId="724EBD0F" w14:textId="77777777" w:rsidTr="006D3A19">
              <w:trPr>
                <w:trHeight w:val="964"/>
              </w:trPr>
              <w:tc>
                <w:tcPr>
                  <w:tcW w:w="14572" w:type="dxa"/>
                  <w:gridSpan w:val="2"/>
                </w:tcPr>
                <w:p w14:paraId="3F185A7C" w14:textId="77777777" w:rsidR="00FF32F3" w:rsidRPr="00FF53F1" w:rsidRDefault="00FF32F3" w:rsidP="00FF32F3">
                  <w:pPr>
                    <w:pStyle w:val="Tabellenberschrift"/>
                    <w:tabs>
                      <w:tab w:val="clear" w:pos="1985"/>
                      <w:tab w:val="clear" w:pos="3402"/>
                    </w:tabs>
                  </w:pPr>
                  <w:r w:rsidRPr="00FF53F1">
                    <w:t>Unterrichtsmaterialien/Fundstelle</w:t>
                  </w:r>
                </w:p>
                <w:p w14:paraId="79C8888F" w14:textId="77777777" w:rsidR="00636AB8" w:rsidRDefault="001A6680" w:rsidP="00A47379">
                  <w:pPr>
                    <w:pStyle w:val="Tabellentext"/>
                    <w:spacing w:before="0"/>
                  </w:pPr>
                  <w:r>
                    <w:t>Schulbuc</w:t>
                  </w:r>
                  <w:r w:rsidR="00636AB8">
                    <w:t>h</w:t>
                  </w:r>
                </w:p>
                <w:p w14:paraId="24542875" w14:textId="1C3A0B19" w:rsidR="00FF32F3" w:rsidRDefault="00636AB8" w:rsidP="00A47379">
                  <w:pPr>
                    <w:pStyle w:val="Tabellentext"/>
                    <w:spacing w:before="0"/>
                  </w:pPr>
                  <w:r>
                    <w:t>SGB</w:t>
                  </w:r>
                </w:p>
                <w:p w14:paraId="225EBD5A" w14:textId="5E1C1946" w:rsidR="001A6680" w:rsidRDefault="00636AB8" w:rsidP="00A47379">
                  <w:pPr>
                    <w:pStyle w:val="Tabellentext"/>
                    <w:spacing w:before="0"/>
                  </w:pPr>
                  <w:r>
                    <w:t>Informationsblätter/</w:t>
                  </w:r>
                  <w:r w:rsidR="001A6680">
                    <w:t>Arbeitsblätter</w:t>
                  </w:r>
                </w:p>
                <w:p w14:paraId="5FEE978F" w14:textId="04D6DBCC" w:rsidR="001A6680" w:rsidRDefault="001A6680" w:rsidP="00A47379">
                  <w:pPr>
                    <w:pStyle w:val="Tabellentext"/>
                    <w:spacing w:before="0"/>
                  </w:pPr>
                  <w:r>
                    <w:t>Digitale Broschüre „Unsere Sozial</w:t>
                  </w:r>
                  <w:r w:rsidR="00636AB8">
                    <w:t>versicherung</w:t>
                  </w:r>
                  <w:r>
                    <w:t>“</w:t>
                  </w:r>
                </w:p>
                <w:p w14:paraId="4BA0C913" w14:textId="4D354ACA" w:rsidR="00FF32F3" w:rsidRPr="00FF53F1" w:rsidRDefault="001A6680" w:rsidP="00A47379">
                  <w:pPr>
                    <w:pStyle w:val="Tabellentext"/>
                    <w:spacing w:before="0"/>
                  </w:pPr>
                  <w:r>
                    <w:t>Internetrecherche</w:t>
                  </w:r>
                </w:p>
              </w:tc>
            </w:tr>
            <w:tr w:rsidR="00FF32F3" w:rsidRPr="00FF53F1" w14:paraId="37F87677" w14:textId="77777777" w:rsidTr="006D3A19">
              <w:trPr>
                <w:trHeight w:val="964"/>
              </w:trPr>
              <w:tc>
                <w:tcPr>
                  <w:tcW w:w="14572" w:type="dxa"/>
                  <w:gridSpan w:val="2"/>
                </w:tcPr>
                <w:p w14:paraId="51B7DC83" w14:textId="77777777" w:rsidR="00FF32F3" w:rsidRPr="00FF53F1" w:rsidRDefault="00FF32F3" w:rsidP="00FF32F3">
                  <w:pPr>
                    <w:pStyle w:val="Tabellenberschrift"/>
                    <w:tabs>
                      <w:tab w:val="clear" w:pos="1985"/>
                      <w:tab w:val="clear" w:pos="3402"/>
                    </w:tabs>
                  </w:pPr>
                  <w:r w:rsidRPr="00FF53F1">
                    <w:t>Organisatorische Hinweise</w:t>
                  </w:r>
                </w:p>
                <w:p w14:paraId="3A12524A" w14:textId="7071B4A5" w:rsidR="00636AB8" w:rsidRDefault="00636AB8" w:rsidP="00A47379">
                  <w:pPr>
                    <w:pStyle w:val="Tabellenspiegelstrich"/>
                  </w:pPr>
                  <w:r>
                    <w:t>Digitale Endgeräte oder Computerraum</w:t>
                  </w:r>
                </w:p>
                <w:p w14:paraId="552C2064" w14:textId="0219B7D3" w:rsidR="00636AB8" w:rsidRDefault="00636AB8" w:rsidP="00A47379">
                  <w:pPr>
                    <w:pStyle w:val="Tabellenspiegelstrich"/>
                  </w:pPr>
                  <w:r>
                    <w:t>WLAN</w:t>
                  </w:r>
                </w:p>
                <w:p w14:paraId="15260415" w14:textId="77FDA384" w:rsidR="00636AB8" w:rsidRDefault="00636AB8" w:rsidP="00A47379">
                  <w:pPr>
                    <w:pStyle w:val="Tabellenspiegelstrich"/>
                  </w:pPr>
                  <w:r>
                    <w:t>Fachliche Begleitung und Unterstützung des Lernprozesses in den Gruppen</w:t>
                  </w:r>
                </w:p>
                <w:p w14:paraId="0A27E7E8" w14:textId="36A85BDB" w:rsidR="00FF32F3" w:rsidRPr="00A47379" w:rsidRDefault="00636AB8" w:rsidP="00A47379">
                  <w:pPr>
                    <w:pStyle w:val="Tabellenspiegelstrich"/>
                  </w:pPr>
                  <w:r>
                    <w:t xml:space="preserve">Eventuell Hinzuziehung von </w:t>
                  </w:r>
                  <w:r w:rsidR="00BF616F">
                    <w:t>Expertinnen/</w:t>
                  </w:r>
                  <w:r>
                    <w:t>Experten</w:t>
                  </w:r>
                </w:p>
              </w:tc>
            </w:tr>
            <w:tr w:rsidR="005733D3" w:rsidRPr="00FF53F1" w14:paraId="6D38AE52" w14:textId="77777777" w:rsidTr="006D3A19">
              <w:trPr>
                <w:trHeight w:val="964"/>
              </w:trPr>
              <w:tc>
                <w:tcPr>
                  <w:tcW w:w="14572" w:type="dxa"/>
                  <w:gridSpan w:val="2"/>
                </w:tcPr>
                <w:p w14:paraId="4B33AF65" w14:textId="77777777" w:rsidR="005733D3" w:rsidRDefault="005733D3" w:rsidP="00FF32F3">
                  <w:pPr>
                    <w:pStyle w:val="Tabellenberschrift"/>
                    <w:tabs>
                      <w:tab w:val="clear" w:pos="1985"/>
                      <w:tab w:val="clear" w:pos="3402"/>
                    </w:tabs>
                  </w:pPr>
                  <w:r>
                    <w:t>Bezug:</w:t>
                  </w:r>
                </w:p>
                <w:p w14:paraId="0655EDE9" w14:textId="77777777" w:rsidR="005733D3" w:rsidRDefault="005733D3" w:rsidP="00FF32F3">
                  <w:pPr>
                    <w:pStyle w:val="Tabellenberschrift"/>
                    <w:tabs>
                      <w:tab w:val="clear" w:pos="1985"/>
                      <w:tab w:val="clear" w:pos="3402"/>
                    </w:tabs>
                    <w:rPr>
                      <w:b w:val="0"/>
                      <w:bCs w:val="0"/>
                    </w:rPr>
                  </w:pPr>
                  <w:r w:rsidRPr="005733D3">
                    <w:rPr>
                      <w:b w:val="0"/>
                      <w:bCs w:val="0"/>
                    </w:rPr>
                    <w:t xml:space="preserve">LF </w:t>
                  </w:r>
                  <w:r>
                    <w:rPr>
                      <w:b w:val="0"/>
                      <w:bCs w:val="0"/>
                    </w:rPr>
                    <w:t>11 (GRV)</w:t>
                  </w:r>
                </w:p>
                <w:p w14:paraId="7D602A03" w14:textId="441B9876" w:rsidR="005733D3" w:rsidRPr="005733D3" w:rsidRDefault="005733D3" w:rsidP="00FF32F3">
                  <w:pPr>
                    <w:pStyle w:val="Tabellenberschrift"/>
                    <w:tabs>
                      <w:tab w:val="clear" w:pos="1985"/>
                      <w:tab w:val="clear" w:pos="3402"/>
                    </w:tabs>
                    <w:rPr>
                      <w:b w:val="0"/>
                      <w:bCs w:val="0"/>
                    </w:rPr>
                  </w:pPr>
                  <w:r>
                    <w:rPr>
                      <w:b w:val="0"/>
                      <w:bCs w:val="0"/>
                    </w:rPr>
                    <w:t>LF 8 (Krankengeld/-tagegeld)</w:t>
                  </w:r>
                </w:p>
              </w:tc>
            </w:tr>
          </w:tbl>
          <w:p w14:paraId="51E57C23" w14:textId="77777777" w:rsidR="00FF32F3" w:rsidRDefault="00FF32F3" w:rsidP="00FF32F3"/>
        </w:tc>
      </w:tr>
    </w:tbl>
    <w:p w14:paraId="6A6033DD" w14:textId="77777777" w:rsidR="00EB3BD7" w:rsidRDefault="005F408F">
      <w:pPr>
        <w:spacing w:before="0" w:after="0"/>
        <w:jc w:val="left"/>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p w14:paraId="7BF08081" w14:textId="77777777" w:rsidR="00EB3BD7" w:rsidRDefault="00EB3BD7">
      <w:pPr>
        <w:spacing w:before="0" w:after="0"/>
        <w:jc w:val="left"/>
      </w:pPr>
      <w:bookmarkStart w:id="0" w:name="_GoBack"/>
      <w:bookmarkEnd w:id="0"/>
    </w:p>
    <w:sectPr w:rsidR="00EB3BD7" w:rsidSect="00781367">
      <w:headerReference w:type="default" r:id="rId8"/>
      <w:footerReference w:type="default" r:id="rId9"/>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65F0" w14:textId="77777777" w:rsidR="00633BAA" w:rsidRDefault="00633BAA">
      <w:r>
        <w:separator/>
      </w:r>
    </w:p>
    <w:p w14:paraId="22CD60E9" w14:textId="77777777" w:rsidR="00633BAA" w:rsidRDefault="00633BAA"/>
    <w:p w14:paraId="3C0B9161" w14:textId="77777777" w:rsidR="00633BAA" w:rsidRDefault="00633BAA"/>
  </w:endnote>
  <w:endnote w:type="continuationSeparator" w:id="0">
    <w:p w14:paraId="5FC8C41D" w14:textId="77777777" w:rsidR="00633BAA" w:rsidRDefault="00633BAA">
      <w:r>
        <w:continuationSeparator/>
      </w:r>
    </w:p>
    <w:p w14:paraId="34186E51" w14:textId="77777777" w:rsidR="00633BAA" w:rsidRDefault="00633BAA"/>
    <w:p w14:paraId="284CF4D7" w14:textId="77777777" w:rsidR="00633BAA" w:rsidRDefault="00633B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imesNewRomanP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FE396" w14:textId="499B8990"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E443D1">
      <w:rPr>
        <w:noProof/>
      </w:rPr>
      <w:t>4</w:t>
    </w:r>
    <w:r w:rsidR="00D230E5">
      <w:rPr>
        <w:noProof/>
      </w:rPr>
      <w:fldChar w:fldCharType="end"/>
    </w:r>
    <w:r>
      <w:t xml:space="preserve"> von </w:t>
    </w:r>
    <w:fldSimple w:instr=" NUMPAGES  \* Arabic  \* MERGEFORMAT ">
      <w:r w:rsidR="00E443D1">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771CA" w14:textId="77777777" w:rsidR="00633BAA" w:rsidRDefault="00633BAA">
      <w:r>
        <w:separator/>
      </w:r>
    </w:p>
  </w:footnote>
  <w:footnote w:type="continuationSeparator" w:id="0">
    <w:p w14:paraId="1E21956C" w14:textId="77777777" w:rsidR="00633BAA" w:rsidRDefault="00633BAA">
      <w:r>
        <w:continuationSeparator/>
      </w:r>
    </w:p>
    <w:p w14:paraId="096E1E3D" w14:textId="77777777" w:rsidR="00633BAA" w:rsidRDefault="00633BAA"/>
    <w:p w14:paraId="608AC102" w14:textId="77777777" w:rsidR="00633BAA" w:rsidRDefault="00633B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675C" w14:textId="6AC99291" w:rsidR="005F408F" w:rsidRDefault="000E34C7" w:rsidP="008234F4">
    <w:pPr>
      <w:pStyle w:val="berschrift2"/>
      <w:numPr>
        <w:ilvl w:val="0"/>
        <w:numId w:val="0"/>
      </w:numPr>
      <w:spacing w:before="0"/>
    </w:pPr>
    <w:r>
      <w:t>Kauf</w:t>
    </w:r>
    <w:r w:rsidR="00921F61">
      <w:t>frau</w:t>
    </w:r>
    <w:r w:rsidR="003E7DB7">
      <w:t xml:space="preserve"> für Versicherungen und Finanzanlagen und </w:t>
    </w:r>
    <w:r w:rsidR="00921F61">
      <w:t>Kaufmann</w:t>
    </w:r>
    <w:r>
      <w:t xml:space="preserve"> für Versicherungen und Finanzanlagen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9F806AA"/>
    <w:multiLevelType w:val="hybridMultilevel"/>
    <w:tmpl w:val="B0F0847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5"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6"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7" w15:restartNumberingAfterBreak="0">
    <w:nsid w:val="29932351"/>
    <w:multiLevelType w:val="hybridMultilevel"/>
    <w:tmpl w:val="1FE01652"/>
    <w:lvl w:ilvl="0" w:tplc="10562A4C">
      <w:start w:val="7"/>
      <w:numFmt w:val="bullet"/>
      <w:lvlText w:val="-"/>
      <w:lvlJc w:val="left"/>
      <w:pPr>
        <w:ind w:left="720" w:hanging="360"/>
      </w:pPr>
      <w:rPr>
        <w:rFonts w:ascii="TimesNewRomanPS" w:eastAsia="Times New Roman" w:hAnsi="TimesNewRomanP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AA42C2"/>
    <w:multiLevelType w:val="hybridMultilevel"/>
    <w:tmpl w:val="308A9FE2"/>
    <w:lvl w:ilvl="0" w:tplc="9CB6966C">
      <w:start w:val="1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51B0701"/>
    <w:multiLevelType w:val="hybridMultilevel"/>
    <w:tmpl w:val="A6520D14"/>
    <w:lvl w:ilvl="0" w:tplc="10562A4C">
      <w:start w:val="7"/>
      <w:numFmt w:val="bullet"/>
      <w:lvlText w:val="-"/>
      <w:lvlJc w:val="left"/>
      <w:pPr>
        <w:ind w:left="720" w:hanging="360"/>
      </w:pPr>
      <w:rPr>
        <w:rFonts w:ascii="TimesNewRomanPS" w:eastAsia="Times New Roman" w:hAnsi="TimesNewRomanP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871120"/>
    <w:multiLevelType w:val="hybridMultilevel"/>
    <w:tmpl w:val="DF345996"/>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5" w15:restartNumberingAfterBreak="0">
    <w:nsid w:val="57BE632D"/>
    <w:multiLevelType w:val="hybridMultilevel"/>
    <w:tmpl w:val="23B8CA22"/>
    <w:lvl w:ilvl="0" w:tplc="10562A4C">
      <w:start w:val="7"/>
      <w:numFmt w:val="bullet"/>
      <w:lvlText w:val="-"/>
      <w:lvlJc w:val="left"/>
      <w:pPr>
        <w:ind w:left="720" w:hanging="360"/>
      </w:pPr>
      <w:rPr>
        <w:rFonts w:ascii="TimesNewRomanPS" w:eastAsia="Times New Roman" w:hAnsi="TimesNewRomanPS"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741379"/>
    <w:multiLevelType w:val="hybridMultilevel"/>
    <w:tmpl w:val="6EA6382A"/>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7"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19"/>
  </w:num>
  <w:num w:numId="14">
    <w:abstractNumId w:val="24"/>
  </w:num>
  <w:num w:numId="15">
    <w:abstractNumId w:val="22"/>
  </w:num>
  <w:num w:numId="16">
    <w:abstractNumId w:val="28"/>
  </w:num>
  <w:num w:numId="17">
    <w:abstractNumId w:val="11"/>
  </w:num>
  <w:num w:numId="18">
    <w:abstractNumId w:val="15"/>
  </w:num>
  <w:num w:numId="19">
    <w:abstractNumId w:val="29"/>
  </w:num>
  <w:num w:numId="20">
    <w:abstractNumId w:val="16"/>
  </w:num>
  <w:num w:numId="21">
    <w:abstractNumId w:val="14"/>
  </w:num>
  <w:num w:numId="22">
    <w:abstractNumId w:val="27"/>
  </w:num>
  <w:num w:numId="23">
    <w:abstractNumId w:val="10"/>
  </w:num>
  <w:num w:numId="24">
    <w:abstractNumId w:val="13"/>
  </w:num>
  <w:num w:numId="25">
    <w:abstractNumId w:val="12"/>
  </w:num>
  <w:num w:numId="26">
    <w:abstractNumId w:val="17"/>
  </w:num>
  <w:num w:numId="27">
    <w:abstractNumId w:val="20"/>
  </w:num>
  <w:num w:numId="28">
    <w:abstractNumId w:val="25"/>
  </w:num>
  <w:num w:numId="29">
    <w:abstractNumId w:val="18"/>
  </w:num>
  <w:num w:numId="30">
    <w:abstractNumId w:val="26"/>
  </w:num>
  <w:num w:numId="3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A01F1"/>
    <w:rsid w:val="000A1794"/>
    <w:rsid w:val="000A5ECF"/>
    <w:rsid w:val="000A6032"/>
    <w:rsid w:val="000B066A"/>
    <w:rsid w:val="000B0AF2"/>
    <w:rsid w:val="000B3656"/>
    <w:rsid w:val="000B759D"/>
    <w:rsid w:val="000C00FA"/>
    <w:rsid w:val="000C0D92"/>
    <w:rsid w:val="000C3C08"/>
    <w:rsid w:val="000C73C4"/>
    <w:rsid w:val="000D1161"/>
    <w:rsid w:val="000D1E7D"/>
    <w:rsid w:val="000D502F"/>
    <w:rsid w:val="000D7785"/>
    <w:rsid w:val="000D7A7D"/>
    <w:rsid w:val="000D7CEE"/>
    <w:rsid w:val="000E00B3"/>
    <w:rsid w:val="000E0FAB"/>
    <w:rsid w:val="000E2C66"/>
    <w:rsid w:val="000E3236"/>
    <w:rsid w:val="000E34C7"/>
    <w:rsid w:val="000E380A"/>
    <w:rsid w:val="000E5FC0"/>
    <w:rsid w:val="000E7771"/>
    <w:rsid w:val="000F1481"/>
    <w:rsid w:val="000F1E1C"/>
    <w:rsid w:val="000F273F"/>
    <w:rsid w:val="000F342E"/>
    <w:rsid w:val="000F55CF"/>
    <w:rsid w:val="000F799E"/>
    <w:rsid w:val="00100128"/>
    <w:rsid w:val="00100D82"/>
    <w:rsid w:val="001014AC"/>
    <w:rsid w:val="00103767"/>
    <w:rsid w:val="001054C2"/>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506"/>
    <w:rsid w:val="00143C31"/>
    <w:rsid w:val="00147FC8"/>
    <w:rsid w:val="00150D2C"/>
    <w:rsid w:val="00152578"/>
    <w:rsid w:val="00152F57"/>
    <w:rsid w:val="001550C4"/>
    <w:rsid w:val="00157AD3"/>
    <w:rsid w:val="00161829"/>
    <w:rsid w:val="00163B35"/>
    <w:rsid w:val="00163C16"/>
    <w:rsid w:val="001662E0"/>
    <w:rsid w:val="0016699F"/>
    <w:rsid w:val="00173360"/>
    <w:rsid w:val="0017350B"/>
    <w:rsid w:val="0017355D"/>
    <w:rsid w:val="0017483C"/>
    <w:rsid w:val="001773B2"/>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A6680"/>
    <w:rsid w:val="001B4448"/>
    <w:rsid w:val="001B4DC5"/>
    <w:rsid w:val="001B6386"/>
    <w:rsid w:val="001B6C45"/>
    <w:rsid w:val="001C0DB7"/>
    <w:rsid w:val="001C4B15"/>
    <w:rsid w:val="001C68F1"/>
    <w:rsid w:val="001D0CEA"/>
    <w:rsid w:val="001D2A52"/>
    <w:rsid w:val="001D71C5"/>
    <w:rsid w:val="001E01A7"/>
    <w:rsid w:val="001E6496"/>
    <w:rsid w:val="001F161A"/>
    <w:rsid w:val="001F1BD7"/>
    <w:rsid w:val="001F2760"/>
    <w:rsid w:val="001F2DD3"/>
    <w:rsid w:val="001F2EA5"/>
    <w:rsid w:val="001F39A2"/>
    <w:rsid w:val="001F3D90"/>
    <w:rsid w:val="001F470D"/>
    <w:rsid w:val="001F5298"/>
    <w:rsid w:val="001F6EE1"/>
    <w:rsid w:val="001F7166"/>
    <w:rsid w:val="00200345"/>
    <w:rsid w:val="00211B04"/>
    <w:rsid w:val="0021496C"/>
    <w:rsid w:val="00216C9A"/>
    <w:rsid w:val="00217562"/>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6"/>
    <w:rsid w:val="00265A0B"/>
    <w:rsid w:val="00266CE0"/>
    <w:rsid w:val="0027406F"/>
    <w:rsid w:val="00282545"/>
    <w:rsid w:val="00283ACF"/>
    <w:rsid w:val="002855F6"/>
    <w:rsid w:val="00285DE3"/>
    <w:rsid w:val="00286508"/>
    <w:rsid w:val="002911D5"/>
    <w:rsid w:val="00293219"/>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A7"/>
    <w:rsid w:val="002D20DB"/>
    <w:rsid w:val="002D2BF8"/>
    <w:rsid w:val="002D4A1D"/>
    <w:rsid w:val="002D5C87"/>
    <w:rsid w:val="002D7672"/>
    <w:rsid w:val="002D7878"/>
    <w:rsid w:val="002E2044"/>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57D3"/>
    <w:rsid w:val="003B740E"/>
    <w:rsid w:val="003C167C"/>
    <w:rsid w:val="003C1F2F"/>
    <w:rsid w:val="003C2510"/>
    <w:rsid w:val="003C4FBC"/>
    <w:rsid w:val="003C561A"/>
    <w:rsid w:val="003C6D85"/>
    <w:rsid w:val="003C73A8"/>
    <w:rsid w:val="003D55A3"/>
    <w:rsid w:val="003D690D"/>
    <w:rsid w:val="003E5DC3"/>
    <w:rsid w:val="003E6812"/>
    <w:rsid w:val="003E69BF"/>
    <w:rsid w:val="003E7DB7"/>
    <w:rsid w:val="003F3787"/>
    <w:rsid w:val="003F7A0E"/>
    <w:rsid w:val="00401D77"/>
    <w:rsid w:val="004070AD"/>
    <w:rsid w:val="00413319"/>
    <w:rsid w:val="004159E4"/>
    <w:rsid w:val="004173A0"/>
    <w:rsid w:val="00421D4C"/>
    <w:rsid w:val="00422360"/>
    <w:rsid w:val="00422795"/>
    <w:rsid w:val="00423880"/>
    <w:rsid w:val="0042489B"/>
    <w:rsid w:val="00432AA7"/>
    <w:rsid w:val="00435451"/>
    <w:rsid w:val="004358C2"/>
    <w:rsid w:val="00436D90"/>
    <w:rsid w:val="00446399"/>
    <w:rsid w:val="00446584"/>
    <w:rsid w:val="0045006B"/>
    <w:rsid w:val="00451D3D"/>
    <w:rsid w:val="004530EC"/>
    <w:rsid w:val="00453420"/>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33E9"/>
    <w:rsid w:val="004C702A"/>
    <w:rsid w:val="004D08CE"/>
    <w:rsid w:val="004D0E5C"/>
    <w:rsid w:val="004D21A5"/>
    <w:rsid w:val="004D350A"/>
    <w:rsid w:val="004D6915"/>
    <w:rsid w:val="004E0CA1"/>
    <w:rsid w:val="004E6378"/>
    <w:rsid w:val="004E7059"/>
    <w:rsid w:val="004E740D"/>
    <w:rsid w:val="004F015E"/>
    <w:rsid w:val="004F06D4"/>
    <w:rsid w:val="004F349D"/>
    <w:rsid w:val="004F3595"/>
    <w:rsid w:val="004F4AC3"/>
    <w:rsid w:val="004F67F4"/>
    <w:rsid w:val="004F6B76"/>
    <w:rsid w:val="004F73D5"/>
    <w:rsid w:val="00502668"/>
    <w:rsid w:val="005032F1"/>
    <w:rsid w:val="005042CB"/>
    <w:rsid w:val="0050437F"/>
    <w:rsid w:val="00507960"/>
    <w:rsid w:val="005117A6"/>
    <w:rsid w:val="00513852"/>
    <w:rsid w:val="00513C3E"/>
    <w:rsid w:val="00514813"/>
    <w:rsid w:val="00515FE6"/>
    <w:rsid w:val="00517EA0"/>
    <w:rsid w:val="0052103E"/>
    <w:rsid w:val="0052123D"/>
    <w:rsid w:val="00522AFF"/>
    <w:rsid w:val="00526041"/>
    <w:rsid w:val="00530E5D"/>
    <w:rsid w:val="00532D75"/>
    <w:rsid w:val="00534262"/>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3D3"/>
    <w:rsid w:val="005736C8"/>
    <w:rsid w:val="00576872"/>
    <w:rsid w:val="005828FF"/>
    <w:rsid w:val="00585BA8"/>
    <w:rsid w:val="00586D29"/>
    <w:rsid w:val="00586F34"/>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5CE5"/>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16B46"/>
    <w:rsid w:val="0062143A"/>
    <w:rsid w:val="00621DCC"/>
    <w:rsid w:val="00623A27"/>
    <w:rsid w:val="00624315"/>
    <w:rsid w:val="00624459"/>
    <w:rsid w:val="00624D6F"/>
    <w:rsid w:val="00626EEE"/>
    <w:rsid w:val="0062721C"/>
    <w:rsid w:val="00632187"/>
    <w:rsid w:val="00633AEA"/>
    <w:rsid w:val="00633BAA"/>
    <w:rsid w:val="006357EC"/>
    <w:rsid w:val="00636AB8"/>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4FA9"/>
    <w:rsid w:val="006915DF"/>
    <w:rsid w:val="0069204B"/>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0728"/>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36E8D"/>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6F1E"/>
    <w:rsid w:val="00817652"/>
    <w:rsid w:val="00817D5A"/>
    <w:rsid w:val="008234F4"/>
    <w:rsid w:val="008269E9"/>
    <w:rsid w:val="00830A3E"/>
    <w:rsid w:val="00830B87"/>
    <w:rsid w:val="008312DA"/>
    <w:rsid w:val="00831599"/>
    <w:rsid w:val="008327EF"/>
    <w:rsid w:val="00841892"/>
    <w:rsid w:val="00841BF3"/>
    <w:rsid w:val="00844715"/>
    <w:rsid w:val="008450B4"/>
    <w:rsid w:val="008450F3"/>
    <w:rsid w:val="00850069"/>
    <w:rsid w:val="00850A45"/>
    <w:rsid w:val="00850CC4"/>
    <w:rsid w:val="00861829"/>
    <w:rsid w:val="008619B6"/>
    <w:rsid w:val="008627EA"/>
    <w:rsid w:val="00865E82"/>
    <w:rsid w:val="008663C1"/>
    <w:rsid w:val="0086762F"/>
    <w:rsid w:val="00871D98"/>
    <w:rsid w:val="00873F8E"/>
    <w:rsid w:val="008740D4"/>
    <w:rsid w:val="00880672"/>
    <w:rsid w:val="00881821"/>
    <w:rsid w:val="00882565"/>
    <w:rsid w:val="00882605"/>
    <w:rsid w:val="00882AA9"/>
    <w:rsid w:val="008831BC"/>
    <w:rsid w:val="00884116"/>
    <w:rsid w:val="0088607E"/>
    <w:rsid w:val="00887077"/>
    <w:rsid w:val="00890A79"/>
    <w:rsid w:val="008914EF"/>
    <w:rsid w:val="00892EEA"/>
    <w:rsid w:val="0089441B"/>
    <w:rsid w:val="00895367"/>
    <w:rsid w:val="0089700C"/>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063C9"/>
    <w:rsid w:val="00910359"/>
    <w:rsid w:val="0091314E"/>
    <w:rsid w:val="00914FD8"/>
    <w:rsid w:val="00917BD6"/>
    <w:rsid w:val="009200C7"/>
    <w:rsid w:val="00921380"/>
    <w:rsid w:val="00921F02"/>
    <w:rsid w:val="00921F61"/>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289"/>
    <w:rsid w:val="00970940"/>
    <w:rsid w:val="009721F6"/>
    <w:rsid w:val="00973F93"/>
    <w:rsid w:val="009816F1"/>
    <w:rsid w:val="009818AB"/>
    <w:rsid w:val="0098200C"/>
    <w:rsid w:val="00982676"/>
    <w:rsid w:val="00983C50"/>
    <w:rsid w:val="0098692C"/>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14FF"/>
    <w:rsid w:val="00A02561"/>
    <w:rsid w:val="00A02E3A"/>
    <w:rsid w:val="00A04008"/>
    <w:rsid w:val="00A042B6"/>
    <w:rsid w:val="00A0452F"/>
    <w:rsid w:val="00A055FF"/>
    <w:rsid w:val="00A056E3"/>
    <w:rsid w:val="00A07F0A"/>
    <w:rsid w:val="00A10ACF"/>
    <w:rsid w:val="00A123A5"/>
    <w:rsid w:val="00A17E22"/>
    <w:rsid w:val="00A17E92"/>
    <w:rsid w:val="00A221EE"/>
    <w:rsid w:val="00A23725"/>
    <w:rsid w:val="00A23F48"/>
    <w:rsid w:val="00A2623D"/>
    <w:rsid w:val="00A325B9"/>
    <w:rsid w:val="00A33637"/>
    <w:rsid w:val="00A35CB3"/>
    <w:rsid w:val="00A35CF7"/>
    <w:rsid w:val="00A37BFB"/>
    <w:rsid w:val="00A4329D"/>
    <w:rsid w:val="00A46449"/>
    <w:rsid w:val="00A47379"/>
    <w:rsid w:val="00A510C4"/>
    <w:rsid w:val="00A51586"/>
    <w:rsid w:val="00A527C5"/>
    <w:rsid w:val="00A61DA3"/>
    <w:rsid w:val="00A71667"/>
    <w:rsid w:val="00A74A75"/>
    <w:rsid w:val="00A7537F"/>
    <w:rsid w:val="00A76CD7"/>
    <w:rsid w:val="00A80322"/>
    <w:rsid w:val="00A80866"/>
    <w:rsid w:val="00A80A5B"/>
    <w:rsid w:val="00A8535C"/>
    <w:rsid w:val="00A8552D"/>
    <w:rsid w:val="00A87254"/>
    <w:rsid w:val="00A92076"/>
    <w:rsid w:val="00A9213F"/>
    <w:rsid w:val="00A925C7"/>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E625B"/>
    <w:rsid w:val="00AE6E3A"/>
    <w:rsid w:val="00AE78B9"/>
    <w:rsid w:val="00AF10D5"/>
    <w:rsid w:val="00AF144C"/>
    <w:rsid w:val="00AF787D"/>
    <w:rsid w:val="00B062DB"/>
    <w:rsid w:val="00B07C65"/>
    <w:rsid w:val="00B126FF"/>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4359"/>
    <w:rsid w:val="00B547DE"/>
    <w:rsid w:val="00B57A9F"/>
    <w:rsid w:val="00B57D01"/>
    <w:rsid w:val="00B603A0"/>
    <w:rsid w:val="00B64812"/>
    <w:rsid w:val="00B65B7D"/>
    <w:rsid w:val="00B65F15"/>
    <w:rsid w:val="00B6658F"/>
    <w:rsid w:val="00B66978"/>
    <w:rsid w:val="00B67238"/>
    <w:rsid w:val="00B73187"/>
    <w:rsid w:val="00B74056"/>
    <w:rsid w:val="00B77E81"/>
    <w:rsid w:val="00B80997"/>
    <w:rsid w:val="00B82661"/>
    <w:rsid w:val="00B84A94"/>
    <w:rsid w:val="00B855F8"/>
    <w:rsid w:val="00B8746F"/>
    <w:rsid w:val="00B912AB"/>
    <w:rsid w:val="00B9319C"/>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3D10"/>
    <w:rsid w:val="00BD409C"/>
    <w:rsid w:val="00BD6AEB"/>
    <w:rsid w:val="00BD7D89"/>
    <w:rsid w:val="00BE0932"/>
    <w:rsid w:val="00BE1120"/>
    <w:rsid w:val="00BE266F"/>
    <w:rsid w:val="00BE2F66"/>
    <w:rsid w:val="00BE49B6"/>
    <w:rsid w:val="00BE558F"/>
    <w:rsid w:val="00BF0CDE"/>
    <w:rsid w:val="00BF1231"/>
    <w:rsid w:val="00BF1645"/>
    <w:rsid w:val="00BF4088"/>
    <w:rsid w:val="00BF4E16"/>
    <w:rsid w:val="00BF5591"/>
    <w:rsid w:val="00BF5884"/>
    <w:rsid w:val="00BF616F"/>
    <w:rsid w:val="00BF63E2"/>
    <w:rsid w:val="00C03E9A"/>
    <w:rsid w:val="00C055C3"/>
    <w:rsid w:val="00C057CC"/>
    <w:rsid w:val="00C077B6"/>
    <w:rsid w:val="00C10EBF"/>
    <w:rsid w:val="00C117E7"/>
    <w:rsid w:val="00C12B73"/>
    <w:rsid w:val="00C14A82"/>
    <w:rsid w:val="00C16A8E"/>
    <w:rsid w:val="00C17AC3"/>
    <w:rsid w:val="00C200E1"/>
    <w:rsid w:val="00C2516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617F"/>
    <w:rsid w:val="00C86C3A"/>
    <w:rsid w:val="00C90512"/>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7F4"/>
    <w:rsid w:val="00CE1831"/>
    <w:rsid w:val="00CE2F79"/>
    <w:rsid w:val="00CE772D"/>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31A2"/>
    <w:rsid w:val="00D94AA6"/>
    <w:rsid w:val="00D96377"/>
    <w:rsid w:val="00DA00F1"/>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199"/>
    <w:rsid w:val="00DF5620"/>
    <w:rsid w:val="00DF65E6"/>
    <w:rsid w:val="00DF6748"/>
    <w:rsid w:val="00DF68FA"/>
    <w:rsid w:val="00DF721C"/>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43D1"/>
    <w:rsid w:val="00E45D79"/>
    <w:rsid w:val="00E5174E"/>
    <w:rsid w:val="00E540B5"/>
    <w:rsid w:val="00E64637"/>
    <w:rsid w:val="00E66950"/>
    <w:rsid w:val="00E71F2C"/>
    <w:rsid w:val="00E72E5A"/>
    <w:rsid w:val="00E774D2"/>
    <w:rsid w:val="00E77FC5"/>
    <w:rsid w:val="00E839F4"/>
    <w:rsid w:val="00E84A8F"/>
    <w:rsid w:val="00E8528B"/>
    <w:rsid w:val="00E86129"/>
    <w:rsid w:val="00E86824"/>
    <w:rsid w:val="00E90216"/>
    <w:rsid w:val="00E93135"/>
    <w:rsid w:val="00E94039"/>
    <w:rsid w:val="00E9529D"/>
    <w:rsid w:val="00EA21B1"/>
    <w:rsid w:val="00EA3037"/>
    <w:rsid w:val="00EA3EF6"/>
    <w:rsid w:val="00EA53F0"/>
    <w:rsid w:val="00EB0A80"/>
    <w:rsid w:val="00EB10CE"/>
    <w:rsid w:val="00EB3BD7"/>
    <w:rsid w:val="00EC1A1A"/>
    <w:rsid w:val="00EC29BF"/>
    <w:rsid w:val="00EC3A41"/>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18D"/>
    <w:rsid w:val="00F06863"/>
    <w:rsid w:val="00F07F7A"/>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282"/>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8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styleId="berarbeitung">
    <w:name w:val="Revision"/>
    <w:hidden/>
    <w:uiPriority w:val="99"/>
    <w:semiHidden/>
    <w:rsid w:val="00B603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629172">
      <w:bodyDiv w:val="1"/>
      <w:marLeft w:val="0"/>
      <w:marRight w:val="0"/>
      <w:marTop w:val="0"/>
      <w:marBottom w:val="0"/>
      <w:divBdr>
        <w:top w:val="none" w:sz="0" w:space="0" w:color="auto"/>
        <w:left w:val="none" w:sz="0" w:space="0" w:color="auto"/>
        <w:bottom w:val="none" w:sz="0" w:space="0" w:color="auto"/>
        <w:right w:val="none" w:sz="0" w:space="0" w:color="auto"/>
      </w:divBdr>
    </w:div>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4DC5-1037-4A60-895F-6BF2286A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927</Words>
  <Characters>7138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2022-03-09T09:51:00Z</dcterms:created>
  <dcterms:modified xsi:type="dcterms:W3CDTF">2022-03-09T12:52:00Z</dcterms:modified>
</cp:coreProperties>
</file>