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7426"/>
      </w:tblGrid>
      <w:tr w:rsidR="000C614E" w:rsidRPr="006F771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1458E629" w:rsidR="000C614E" w:rsidRPr="006F771E" w:rsidRDefault="000C614E" w:rsidP="007B1BFE">
            <w:pPr>
              <w:pStyle w:val="tLernfeldKopf-Titel"/>
              <w:rPr>
                <w:sz w:val="22"/>
                <w:szCs w:val="22"/>
              </w:rPr>
            </w:pPr>
            <w:r w:rsidRPr="006F771E">
              <w:rPr>
                <w:sz w:val="22"/>
                <w:szCs w:val="22"/>
              </w:rPr>
              <w:t>W</w:t>
            </w:r>
            <w:r w:rsidR="0060010C" w:rsidRPr="006F771E">
              <w:rPr>
                <w:sz w:val="22"/>
                <w:szCs w:val="22"/>
              </w:rPr>
              <w:t>KV</w:t>
            </w:r>
            <w:r w:rsidRPr="006F771E">
              <w:rPr>
                <w:sz w:val="22"/>
                <w:szCs w:val="22"/>
              </w:rPr>
              <w:t>-LF0</w:t>
            </w:r>
            <w:r w:rsidR="0060010C" w:rsidRPr="006F771E">
              <w:rPr>
                <w:sz w:val="22"/>
                <w:szCs w:val="22"/>
              </w:rPr>
              <w:t>8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50C8CDBD" w:rsidR="000C614E" w:rsidRPr="006F771E" w:rsidRDefault="00CF1E57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Kraftfahrt-</w:t>
            </w:r>
            <w:r w:rsidR="00AB1F14" w:rsidRPr="006F771E">
              <w:rPr>
                <w:sz w:val="22"/>
                <w:szCs w:val="22"/>
              </w:rPr>
              <w:t>Versicherungsschutz für Fahranfänger</w:t>
            </w:r>
            <w:r w:rsidR="0062311F">
              <w:rPr>
                <w:sz w:val="22"/>
                <w:szCs w:val="22"/>
              </w:rPr>
              <w:t>innen und Fahranfänger</w:t>
            </w:r>
            <w:r w:rsidR="00AB1F14" w:rsidRPr="006F771E">
              <w:rPr>
                <w:sz w:val="22"/>
                <w:szCs w:val="22"/>
              </w:rPr>
              <w:t xml:space="preserve"> darstellen </w:t>
            </w:r>
          </w:p>
        </w:tc>
      </w:tr>
    </w:tbl>
    <w:p w14:paraId="54BE922A" w14:textId="1312C817" w:rsidR="004E064B" w:rsidRPr="006F771E" w:rsidRDefault="004E064B" w:rsidP="00543DDC">
      <w:pPr>
        <w:pStyle w:val="TextkrperGrauhinterlegt"/>
        <w:shd w:val="clear" w:color="auto" w:fill="BDD6EE" w:themeFill="accent1" w:themeFillTint="66"/>
        <w:rPr>
          <w:rStyle w:val="Fett"/>
        </w:rPr>
      </w:pPr>
      <w:r w:rsidRPr="006F771E">
        <w:rPr>
          <w:rStyle w:val="Fett"/>
        </w:rPr>
        <w:t>Situation</w:t>
      </w:r>
    </w:p>
    <w:p w14:paraId="219EB2EA" w14:textId="703B3153" w:rsidR="0060010C" w:rsidRPr="006F771E" w:rsidRDefault="0060010C" w:rsidP="0060010C">
      <w:pPr>
        <w:pStyle w:val="TextSituation"/>
      </w:pPr>
      <w:r w:rsidRPr="006F771E">
        <w:t xml:space="preserve">Sie sind Auszubildende/r </w:t>
      </w:r>
      <w:r w:rsidR="00A553F9">
        <w:t xml:space="preserve">in einer </w:t>
      </w:r>
      <w:r w:rsidR="00624501">
        <w:t xml:space="preserve">großen </w:t>
      </w:r>
      <w:r w:rsidR="00A553F9">
        <w:t xml:space="preserve">Agentur </w:t>
      </w:r>
      <w:r w:rsidRPr="006F771E">
        <w:t xml:space="preserve">der Proximus Versicherung AG </w:t>
      </w:r>
      <w:r w:rsidR="00624501">
        <w:t>mit mehreren Auszubildenden. Sie</w:t>
      </w:r>
      <w:r w:rsidRPr="006F771E">
        <w:t xml:space="preserve"> befinden sich im dritten </w:t>
      </w:r>
      <w:r w:rsidR="00624501">
        <w:t>Ausbildungs</w:t>
      </w:r>
      <w:r w:rsidR="00624501" w:rsidRPr="006F771E">
        <w:t>jahr</w:t>
      </w:r>
      <w:r w:rsidRPr="006F771E">
        <w:t>. Ihr</w:t>
      </w:r>
      <w:r w:rsidR="00A553F9">
        <w:t>e</w:t>
      </w:r>
      <w:r w:rsidRPr="006F771E">
        <w:t xml:space="preserve"> </w:t>
      </w:r>
      <w:r w:rsidR="00A553F9">
        <w:t>Agenturleitung</w:t>
      </w:r>
      <w:r w:rsidR="00A553F9" w:rsidRPr="006F771E">
        <w:t xml:space="preserve"> </w:t>
      </w:r>
      <w:r w:rsidRPr="006F771E">
        <w:t xml:space="preserve">hat im vergangenen Monat eine Kooperationsvereinbarung mit </w:t>
      </w:r>
      <w:r w:rsidR="00794D53">
        <w:t>der</w:t>
      </w:r>
      <w:r w:rsidRPr="006F771E">
        <w:t xml:space="preserve"> Fahrschule</w:t>
      </w:r>
      <w:r w:rsidR="00794D53">
        <w:t xml:space="preserve"> Hinderks e. K.</w:t>
      </w:r>
      <w:r w:rsidRPr="006F771E">
        <w:t xml:space="preserve"> abgeschlossen. </w:t>
      </w:r>
    </w:p>
    <w:p w14:paraId="5498E262" w14:textId="16884CE2" w:rsidR="00A553F9" w:rsidRDefault="0060010C" w:rsidP="0060010C">
      <w:pPr>
        <w:pStyle w:val="TextSituation"/>
      </w:pPr>
      <w:r w:rsidRPr="006F771E">
        <w:t xml:space="preserve">Ziel dieser Vereinbarung ist die gezielte Kundenakquise bei Veranstaltungen </w:t>
      </w:r>
      <w:r w:rsidR="00A553F9">
        <w:t xml:space="preserve">der Fahrschule </w:t>
      </w:r>
      <w:r w:rsidRPr="006F771E">
        <w:t xml:space="preserve">– insbesondere </w:t>
      </w:r>
      <w:r w:rsidR="001F7421" w:rsidRPr="006F771E">
        <w:t>im Anschluss an den</w:t>
      </w:r>
      <w:r w:rsidRPr="006F771E">
        <w:t xml:space="preserve"> theoretischen Fahrschulunterricht. Dabei soll der Fokus auf das Thema „</w:t>
      </w:r>
      <w:r w:rsidR="00AB1F14" w:rsidRPr="006F771E">
        <w:t>Darstellung des Versicherungsschutzes für Fahranfänger</w:t>
      </w:r>
      <w:r w:rsidR="0062311F">
        <w:t>innen</w:t>
      </w:r>
      <w:r w:rsidR="00415FC6">
        <w:t xml:space="preserve"> und F</w:t>
      </w:r>
      <w:r w:rsidR="0062311F">
        <w:t>ahranfänger</w:t>
      </w:r>
      <w:r w:rsidRPr="006F771E">
        <w:t xml:space="preserve">“ gelegt werden. </w:t>
      </w:r>
    </w:p>
    <w:p w14:paraId="74BCC15B" w14:textId="7FFE9B88" w:rsidR="0060010C" w:rsidRPr="006F771E" w:rsidRDefault="00A553F9" w:rsidP="0060010C">
      <w:pPr>
        <w:pStyle w:val="TextSituation"/>
      </w:pPr>
      <w:r>
        <w:t>Der Agenturverantwortliche möchte, dass alle Auszubildenden sich mit dem Projekt beschäftigen</w:t>
      </w:r>
      <w:r w:rsidR="00624501">
        <w:t xml:space="preserve"> und unabhängig voneinander</w:t>
      </w:r>
      <w:r>
        <w:t xml:space="preserve"> die geforderten </w:t>
      </w:r>
      <w:r w:rsidR="00D05882">
        <w:t>Medien</w:t>
      </w:r>
      <w:r>
        <w:t xml:space="preserve"> erstellen</w:t>
      </w:r>
      <w:r w:rsidR="00624501">
        <w:t xml:space="preserve">. Daraus soll ein kleiner Wettbewerb entstehen, bei dem </w:t>
      </w:r>
      <w:r>
        <w:t xml:space="preserve">jeweils </w:t>
      </w:r>
      <w:r w:rsidR="00624501">
        <w:t xml:space="preserve">das </w:t>
      </w:r>
      <w:r>
        <w:t xml:space="preserve">beste </w:t>
      </w:r>
      <w:r w:rsidR="00D05882">
        <w:t>Medium</w:t>
      </w:r>
      <w:r>
        <w:t xml:space="preserve"> </w:t>
      </w:r>
      <w:r w:rsidR="00624501">
        <w:t>bestimmt wird</w:t>
      </w:r>
      <w:r>
        <w:t>, das schließlich in der Fahrschule zum Einsatz komm</w:t>
      </w:r>
      <w:r w:rsidR="006C762F">
        <w:t>t</w:t>
      </w:r>
      <w:r>
        <w:t>.</w:t>
      </w:r>
    </w:p>
    <w:p w14:paraId="0FE27A42" w14:textId="1D7E8B3A" w:rsidR="00394779" w:rsidRPr="006F771E" w:rsidRDefault="00394779" w:rsidP="00543DDC">
      <w:pPr>
        <w:pStyle w:val="TextkrperGrauhinterlegt"/>
        <w:shd w:val="clear" w:color="auto" w:fill="BDD6EE" w:themeFill="accent1" w:themeFillTint="66"/>
        <w:rPr>
          <w:rStyle w:val="Fett"/>
        </w:rPr>
      </w:pPr>
      <w:r w:rsidRPr="006F771E">
        <w:rPr>
          <w:rStyle w:val="Fett"/>
        </w:rPr>
        <w:t>Auftr</w:t>
      </w:r>
      <w:r w:rsidR="00A666D0" w:rsidRPr="006F771E">
        <w:rPr>
          <w:rStyle w:val="Fett"/>
        </w:rPr>
        <w:t>a</w:t>
      </w:r>
      <w:r w:rsidRPr="006F771E">
        <w:rPr>
          <w:rStyle w:val="Fett"/>
        </w:rPr>
        <w:t>g</w:t>
      </w:r>
    </w:p>
    <w:p w14:paraId="7B8F75FE" w14:textId="33F00070" w:rsidR="0071299D" w:rsidRDefault="0092649B">
      <w:pPr>
        <w:pStyle w:val="TextAuftrge"/>
        <w:numPr>
          <w:ilvl w:val="0"/>
          <w:numId w:val="0"/>
        </w:numPr>
      </w:pPr>
      <w:r>
        <w:t xml:space="preserve">Erstellen Sie </w:t>
      </w:r>
      <w:r w:rsidR="00D05882">
        <w:t>die Medien</w:t>
      </w:r>
      <w:r w:rsidR="006C762F">
        <w:t>, die im Kooperationsvertrag gefordert werden</w:t>
      </w:r>
      <w:r w:rsidR="00FD14A6">
        <w:t>,</w:t>
      </w:r>
      <w:r w:rsidR="00516B98">
        <w:t xml:space="preserve"> für </w:t>
      </w:r>
      <w:r w:rsidR="006C762F">
        <w:t>die drei Runden des Azubi-Wettbewerbs</w:t>
      </w:r>
      <w:r w:rsidR="00516B98">
        <w:t>.</w:t>
      </w:r>
    </w:p>
    <w:p w14:paraId="0FE27A44" w14:textId="00ED83F7" w:rsidR="00B407F0" w:rsidRPr="006F771E" w:rsidRDefault="00B407F0" w:rsidP="00543DDC">
      <w:pPr>
        <w:pStyle w:val="TextkrperGrauhinterlegt"/>
        <w:shd w:val="clear" w:color="auto" w:fill="DEEAF6" w:themeFill="accent1" w:themeFillTint="33"/>
        <w:rPr>
          <w:rFonts w:ascii="Times New Roman" w:hAnsi="Times New Roman"/>
          <w:b/>
          <w:i/>
          <w:color w:val="2F5496" w:themeColor="accent5" w:themeShade="BF"/>
        </w:rPr>
      </w:pPr>
      <w:r w:rsidRPr="006F771E">
        <w:rPr>
          <w:rFonts w:ascii="Times New Roman" w:hAnsi="Times New Roman"/>
          <w:b/>
          <w:i/>
          <w:color w:val="2F5496" w:themeColor="accent5" w:themeShade="BF"/>
        </w:rPr>
        <w:t>Lösungshinweis</w:t>
      </w:r>
    </w:p>
    <w:p w14:paraId="433D8532" w14:textId="77777777" w:rsidR="00A561DD" w:rsidRPr="006F771E" w:rsidRDefault="00A561DD" w:rsidP="00A561DD">
      <w:pPr>
        <w:pStyle w:val="TestLsungshinweis"/>
        <w:rPr>
          <w:b/>
          <w:vanish w:val="0"/>
        </w:rPr>
      </w:pPr>
      <w:r w:rsidRPr="006F771E">
        <w:rPr>
          <w:b/>
          <w:vanish w:val="0"/>
        </w:rPr>
        <w:t>Inhalte Erklärvideo:</w:t>
      </w:r>
    </w:p>
    <w:p w14:paraId="2A2BA2DC" w14:textId="77777777" w:rsidR="00A561DD" w:rsidRPr="006F771E" w:rsidRDefault="00A561DD" w:rsidP="00A561DD">
      <w:pPr>
        <w:pStyle w:val="TestLsungshinweis"/>
        <w:rPr>
          <w:b/>
          <w:vanish w:val="0"/>
        </w:rPr>
      </w:pPr>
    </w:p>
    <w:p w14:paraId="6713A7A3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eVB-Nummer bei der Versicherung beantragen</w:t>
      </w:r>
    </w:p>
    <w:p w14:paraId="7813109F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Personalausweis oder Reisepass mitbringen</w:t>
      </w:r>
    </w:p>
    <w:p w14:paraId="0E719FFF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Fahrzeugschein (Zulassungsbescheinigung Teil 1)</w:t>
      </w:r>
    </w:p>
    <w:p w14:paraId="3813B368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Fahrzeugbrief (Zulassungsbescheinigung Teil 2), muss bei Neufahrzeugen evtl. erst bei der Zulassungsstelle angefertigt werden</w:t>
      </w:r>
    </w:p>
    <w:p w14:paraId="66D67857" w14:textId="5A366BFE" w:rsidR="00A561DD" w:rsidRPr="006F771E" w:rsidRDefault="00417C98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Bei g</w:t>
      </w:r>
      <w:r w:rsidR="00A561DD" w:rsidRPr="006F771E">
        <w:rPr>
          <w:bCs/>
          <w:vanish w:val="0"/>
        </w:rPr>
        <w:t>ebrauchtem Fahrzeug: TÜV-Bericht über die letzte Hauptuntersuchung mitbringen</w:t>
      </w:r>
    </w:p>
    <w:p w14:paraId="4CD3A075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Evtl. Kfz-Wunschkennzeichen online beim zuständigen Landratsamt reservieren (Vorteil: Kennzeichen kann schon im Vorhinein angefertigt und direkt zur Zulassung mitgebracht werden.</w:t>
      </w:r>
    </w:p>
    <w:p w14:paraId="6DBF9632" w14:textId="77777777" w:rsidR="00A561DD" w:rsidRPr="006F771E" w:rsidRDefault="00A561DD" w:rsidP="00A561DD">
      <w:pPr>
        <w:pStyle w:val="TestLsungshinweis"/>
        <w:rPr>
          <w:bCs/>
          <w:vanish w:val="0"/>
        </w:rPr>
      </w:pPr>
    </w:p>
    <w:p w14:paraId="69F1F95E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Vorläufiger Versicherungsschutz in der Kfz-Haftpflichtversicherung und beim Autoschutzbrief durch Aushändigung der eVB-Nummer zu dem vereinbarten Zeitpunkt, spätestens ab dem Tag, an dem das Fahrzeug unter Verwendung der Versicherungsbestätigung zugelassen wird (B.2.1 AKB 2015).</w:t>
      </w:r>
    </w:p>
    <w:p w14:paraId="02F87913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In der Kaskoversicherung und in der Fahrerschutz-Versicherung besteht vorläufiger Versicherungsschutz nur, wenn dies ausdrücklich zugesagt wurde (B.2.2 AKB 2015).</w:t>
      </w:r>
    </w:p>
    <w:p w14:paraId="11496CED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Sobald die erste oder einmalige Prämie des Hauptvertrags rechtzeitig gezahlt wurde, geht der vorläufige in den endgültigen Versicherungsschutz über (B.2.3 AKB 2015).</w:t>
      </w:r>
    </w:p>
    <w:p w14:paraId="48E47B38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Der vorläufige Versicherungsschutz entfällt rückwirkend, wenn die erste Prämie nicht unverzüglich nach Ablauf von 14 Tagen nach Zugang des Versicherungsscheins bezahlt wird (B.2.4 AKB 2015).</w:t>
      </w:r>
    </w:p>
    <w:p w14:paraId="0057E9E4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Versicherer und Versicherungsnehmer sind berechtigt, den vorläufigen Versicherungsschutz jederzeit zu kündigen (seitens des Versicherers erst nach 2 Wochen wirksam).</w:t>
      </w:r>
    </w:p>
    <w:p w14:paraId="47B47B70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t>Bei Widerruf seitens des Versicherungsnehmers endet der vorläufige Versicherungsschutz mit Zugang der Widerrufserklärung beim Versicherer (B.2.6 AKB 2015).</w:t>
      </w:r>
    </w:p>
    <w:p w14:paraId="71F04696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bCs/>
          <w:vanish w:val="0"/>
        </w:rPr>
      </w:pPr>
      <w:r w:rsidRPr="006F771E">
        <w:rPr>
          <w:bCs/>
          <w:vanish w:val="0"/>
        </w:rPr>
        <w:lastRenderedPageBreak/>
        <w:t xml:space="preserve"> Für den Zeitraum des vorläufigen Versicherungsschutzes hat die Proximus Versicherung Anspruch auf einen der Laufzeit entsprechenden Teil der Prämie (B.2.7 AKB 2015).</w:t>
      </w:r>
    </w:p>
    <w:p w14:paraId="29D0DAFC" w14:textId="77777777" w:rsidR="00A561DD" w:rsidRPr="006F771E" w:rsidRDefault="00A561DD" w:rsidP="00A561DD">
      <w:pPr>
        <w:pStyle w:val="TestLsungshinweis"/>
        <w:rPr>
          <w:vanish w:val="0"/>
        </w:rPr>
      </w:pPr>
    </w:p>
    <w:p w14:paraId="4C6DBE01" w14:textId="77777777" w:rsidR="00A561DD" w:rsidRPr="006F771E" w:rsidRDefault="00A561DD" w:rsidP="00A561DD">
      <w:pPr>
        <w:pStyle w:val="TestLsungshinweis"/>
        <w:rPr>
          <w:vanish w:val="0"/>
        </w:rPr>
      </w:pPr>
      <w:r w:rsidRPr="006F771E">
        <w:rPr>
          <w:vanish w:val="0"/>
        </w:rPr>
        <w:t xml:space="preserve">Siehe auch: </w:t>
      </w:r>
    </w:p>
    <w:p w14:paraId="291EF8A4" w14:textId="77777777" w:rsidR="00A561DD" w:rsidRPr="006F771E" w:rsidRDefault="00C15697" w:rsidP="00A561DD">
      <w:pPr>
        <w:pStyle w:val="TestLsungshinweis"/>
        <w:rPr>
          <w:vanish w:val="0"/>
        </w:rPr>
      </w:pPr>
      <w:hyperlink r:id="rId11" w:history="1">
        <w:r w:rsidR="00A561DD" w:rsidRPr="006F771E">
          <w:rPr>
            <w:rStyle w:val="Hyperlink"/>
            <w:vanish w:val="0"/>
          </w:rPr>
          <w:t>https://www.youtube.com/watch?v=_rN3hDomaBA</w:t>
        </w:r>
      </w:hyperlink>
    </w:p>
    <w:p w14:paraId="243581F9" w14:textId="77777777" w:rsidR="00A561DD" w:rsidRPr="006F771E" w:rsidRDefault="00C15697" w:rsidP="00A561DD">
      <w:pPr>
        <w:pStyle w:val="TestLsungshinweis"/>
        <w:rPr>
          <w:vanish w:val="0"/>
        </w:rPr>
      </w:pPr>
      <w:hyperlink r:id="rId12" w:history="1">
        <w:r w:rsidR="00A561DD" w:rsidRPr="006F771E">
          <w:rPr>
            <w:rStyle w:val="Hyperlink"/>
            <w:vanish w:val="0"/>
          </w:rPr>
          <w:t>https://www.youtube.com/watch?v=PnkeDior9Kc</w:t>
        </w:r>
      </w:hyperlink>
    </w:p>
    <w:p w14:paraId="33C7F17E" w14:textId="77777777" w:rsidR="00A561DD" w:rsidRPr="006F771E" w:rsidRDefault="00C15697" w:rsidP="00A561DD">
      <w:pPr>
        <w:pStyle w:val="TestLsungshinweis"/>
        <w:rPr>
          <w:vanish w:val="0"/>
        </w:rPr>
      </w:pPr>
      <w:hyperlink r:id="rId13" w:history="1">
        <w:r w:rsidR="00A561DD" w:rsidRPr="006F771E">
          <w:rPr>
            <w:rStyle w:val="Hyperlink"/>
            <w:vanish w:val="0"/>
          </w:rPr>
          <w:t>https://www.youtube.com/watch?v=O0htQVYlMIo</w:t>
        </w:r>
      </w:hyperlink>
    </w:p>
    <w:p w14:paraId="188845EB" w14:textId="34D2FDFA" w:rsidR="00A561DD" w:rsidRDefault="00A561DD" w:rsidP="00A561DD">
      <w:pPr>
        <w:pStyle w:val="TestLsungshinweis"/>
        <w:rPr>
          <w:vanish w:val="0"/>
        </w:rPr>
      </w:pPr>
    </w:p>
    <w:p w14:paraId="1D662282" w14:textId="4BBE5147" w:rsidR="00B67202" w:rsidRDefault="00B67202" w:rsidP="00A561DD">
      <w:pPr>
        <w:pStyle w:val="TestLsungshinweis"/>
        <w:rPr>
          <w:vanish w:val="0"/>
        </w:rPr>
      </w:pPr>
    </w:p>
    <w:p w14:paraId="5F40EDC7" w14:textId="77777777" w:rsidR="00B67202" w:rsidRPr="006F771E" w:rsidRDefault="00B67202" w:rsidP="00A561DD">
      <w:pPr>
        <w:pStyle w:val="TestLsungshinweis"/>
        <w:rPr>
          <w:vanish w:val="0"/>
        </w:rPr>
      </w:pPr>
    </w:p>
    <w:p w14:paraId="3EEF055D" w14:textId="3549D434" w:rsidR="00A561DD" w:rsidRPr="006F771E" w:rsidRDefault="00A561DD" w:rsidP="00A561DD">
      <w:pPr>
        <w:pStyle w:val="TestLsungshinweis"/>
        <w:rPr>
          <w:b/>
          <w:bCs/>
          <w:vanish w:val="0"/>
        </w:rPr>
      </w:pPr>
      <w:r w:rsidRPr="006F771E">
        <w:rPr>
          <w:b/>
          <w:bCs/>
          <w:vanish w:val="0"/>
        </w:rPr>
        <w:t>Darstellung der prämienbestimmenden Tarifmerkmale für Fahranfänger</w:t>
      </w:r>
      <w:r w:rsidR="00B67202">
        <w:rPr>
          <w:b/>
          <w:bCs/>
          <w:vanish w:val="0"/>
        </w:rPr>
        <w:t xml:space="preserve"> und Fahranfängerinnen</w:t>
      </w:r>
      <w:r w:rsidRPr="006F771E">
        <w:rPr>
          <w:b/>
          <w:bCs/>
          <w:vanish w:val="0"/>
        </w:rPr>
        <w:t>:</w:t>
      </w:r>
    </w:p>
    <w:p w14:paraId="72AD9514" w14:textId="77777777" w:rsidR="00A561DD" w:rsidRPr="006F771E" w:rsidRDefault="00A561DD" w:rsidP="00A561DD">
      <w:pPr>
        <w:pStyle w:val="TestLsungshinweis"/>
        <w:rPr>
          <w:b/>
          <w:bCs/>
          <w:vanish w:val="0"/>
        </w:rPr>
      </w:pPr>
    </w:p>
    <w:p w14:paraId="083D075F" w14:textId="5D8C570A" w:rsidR="00A561DD" w:rsidRPr="006F771E" w:rsidRDefault="00A561DD" w:rsidP="00A561DD">
      <w:pPr>
        <w:pStyle w:val="TestLsungshinweis"/>
        <w:numPr>
          <w:ilvl w:val="0"/>
          <w:numId w:val="8"/>
        </w:numPr>
        <w:rPr>
          <w:vanish w:val="0"/>
        </w:rPr>
      </w:pPr>
      <w:r w:rsidRPr="006F771E">
        <w:rPr>
          <w:vanish w:val="0"/>
        </w:rPr>
        <w:t>Fahrzeugalter hat Nachlass oder Zuschlag zur Folge (Ausnahme: Fahrzeugalter zwischen 3 bis 7 Jahre).</w:t>
      </w:r>
    </w:p>
    <w:p w14:paraId="28507897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vanish w:val="0"/>
        </w:rPr>
      </w:pPr>
      <w:r w:rsidRPr="006F771E">
        <w:rPr>
          <w:vanish w:val="0"/>
        </w:rPr>
        <w:t>Geringe Fahrleistung bis 12.000 km führt zu einem Nachlass, eine hohe Fahrleistung über 15.000 km hingegen zu einem Zuschlag.</w:t>
      </w:r>
    </w:p>
    <w:p w14:paraId="322F11B9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vanish w:val="0"/>
        </w:rPr>
      </w:pPr>
      <w:r w:rsidRPr="006F771E">
        <w:rPr>
          <w:vanish w:val="0"/>
        </w:rPr>
        <w:t>Besitz von Wohneigentum führt zu einem 10%-igen Nachlass, ebenso eine vorhandene Garage.</w:t>
      </w:r>
    </w:p>
    <w:p w14:paraId="52C7AA04" w14:textId="77777777" w:rsidR="00A561DD" w:rsidRPr="006F771E" w:rsidRDefault="00A561DD" w:rsidP="00A561DD">
      <w:pPr>
        <w:pStyle w:val="TestLsungshinweis"/>
        <w:numPr>
          <w:ilvl w:val="0"/>
          <w:numId w:val="8"/>
        </w:numPr>
        <w:rPr>
          <w:vanish w:val="0"/>
        </w:rPr>
      </w:pPr>
      <w:r w:rsidRPr="006F771E">
        <w:rPr>
          <w:vanish w:val="0"/>
        </w:rPr>
        <w:t>Wenige Nutzer werden im sogenannten Einzel-/Partner-Nachlass mit 10% berücksichtigt, sofern beide mindestens 23 Jahre alt sind (J.3.1.5 AKB 2015).</w:t>
      </w:r>
    </w:p>
    <w:p w14:paraId="50D2440D" w14:textId="77777777" w:rsidR="00A561DD" w:rsidRPr="006F771E" w:rsidRDefault="00A561DD" w:rsidP="00A561DD">
      <w:pPr>
        <w:pStyle w:val="TestLsungshinweis"/>
        <w:rPr>
          <w:vanish w:val="0"/>
        </w:rPr>
      </w:pPr>
    </w:p>
    <w:p w14:paraId="2D899671" w14:textId="63E6C18A" w:rsidR="00A561DD" w:rsidRDefault="00A561DD" w:rsidP="00A561DD">
      <w:pPr>
        <w:pStyle w:val="TestLsungshinweis"/>
        <w:numPr>
          <w:ilvl w:val="0"/>
          <w:numId w:val="8"/>
        </w:numPr>
        <w:rPr>
          <w:vanish w:val="0"/>
        </w:rPr>
      </w:pPr>
      <w:r w:rsidRPr="006F771E">
        <w:rPr>
          <w:vanish w:val="0"/>
        </w:rPr>
        <w:t>Sondereinstufung in SF-Klasse ½ für Fahranfänger bei eigenem Vertrag nicht möglich. Einzige Option: Ein Elternteil hat bereits ein Fahrzeug bei der Proximus versichert und ist mindestens in Klasse ½ eingestuft (I.2.2.1 (c) AKB 2015).</w:t>
      </w:r>
    </w:p>
    <w:p w14:paraId="3DB2A382" w14:textId="77777777" w:rsidR="00B04344" w:rsidRDefault="00B04344">
      <w:pPr>
        <w:pStyle w:val="Listenabsatz"/>
      </w:pPr>
    </w:p>
    <w:p w14:paraId="269BAFC3" w14:textId="594B004B" w:rsidR="00B04344" w:rsidRDefault="00B04344" w:rsidP="00B04344">
      <w:pPr>
        <w:pStyle w:val="TestLsungshinweis"/>
        <w:rPr>
          <w:vanish w:val="0"/>
        </w:rPr>
      </w:pPr>
    </w:p>
    <w:p w14:paraId="3789D758" w14:textId="77777777" w:rsidR="00B04344" w:rsidRDefault="00B04344" w:rsidP="00B04344">
      <w:pPr>
        <w:pStyle w:val="TestLsungshinweis"/>
        <w:rPr>
          <w:vanish w:val="0"/>
        </w:rPr>
      </w:pPr>
    </w:p>
    <w:p w14:paraId="258FF35D" w14:textId="77777777" w:rsidR="00B04344" w:rsidRDefault="00B04344" w:rsidP="00B04344">
      <w:pPr>
        <w:pStyle w:val="TestLsungshinweis"/>
        <w:rPr>
          <w:vanish w:val="0"/>
        </w:rPr>
      </w:pPr>
    </w:p>
    <w:p w14:paraId="743CF115" w14:textId="5FADC1DF" w:rsidR="00C0196E" w:rsidRDefault="00B04344">
      <w:pPr>
        <w:pStyle w:val="TestLsungshinweis"/>
      </w:pPr>
      <w:r>
        <w:rPr>
          <w:vanish w:val="0"/>
        </w:rPr>
        <w:t>Beispiel für ein Quiz:</w:t>
      </w:r>
    </w:p>
    <w:p w14:paraId="30B74947" w14:textId="38C0A43A" w:rsidR="00B04344" w:rsidRDefault="00B04344"/>
    <w:p w14:paraId="4433305F" w14:textId="70EC980F" w:rsidR="00B04344" w:rsidRPr="00C00B68" w:rsidRDefault="00C15697">
      <w:pPr>
        <w:rPr>
          <w:rFonts w:ascii="Times New Roman" w:eastAsia="Times New Roman" w:hAnsi="Times New Roman" w:cs="Times New Roman"/>
          <w:i/>
          <w:color w:val="5B9BD5" w:themeColor="accent1"/>
          <w:szCs w:val="20"/>
          <w:lang w:eastAsia="de-DE"/>
        </w:rPr>
      </w:pPr>
      <w:hyperlink r:id="rId14" w:history="1">
        <w:r w:rsidR="00B04344" w:rsidRPr="00C00B68">
          <w:rPr>
            <w:rFonts w:ascii="Times New Roman" w:eastAsia="Times New Roman" w:hAnsi="Times New Roman" w:cs="Times New Roman"/>
            <w:i/>
            <w:color w:val="5B9BD5" w:themeColor="accent1"/>
            <w:szCs w:val="20"/>
            <w:lang w:eastAsia="de-DE"/>
          </w:rPr>
          <w:t>https://learningapps.org/display?v=p2xi57h0a20</w:t>
        </w:r>
      </w:hyperlink>
      <w:r w:rsidR="00B04344" w:rsidRPr="00C00B68">
        <w:rPr>
          <w:rFonts w:ascii="Times New Roman" w:eastAsia="Times New Roman" w:hAnsi="Times New Roman" w:cs="Times New Roman"/>
          <w:i/>
          <w:color w:val="5B9BD5" w:themeColor="accent1"/>
          <w:szCs w:val="20"/>
          <w:lang w:eastAsia="de-DE"/>
        </w:rPr>
        <w:t xml:space="preserve">      </w:t>
      </w:r>
      <w:r w:rsidR="00B04344" w:rsidRPr="003A5205">
        <w:rPr>
          <w:rFonts w:ascii="Times New Roman" w:eastAsia="Times New Roman" w:hAnsi="Times New Roman" w:cs="Times New Roman"/>
          <w:i/>
          <w:noProof/>
          <w:color w:val="5B9BD5" w:themeColor="accent1"/>
          <w:szCs w:val="20"/>
          <w:lang w:eastAsia="de-DE"/>
        </w:rPr>
        <w:drawing>
          <wp:inline distT="0" distB="0" distL="0" distR="0" wp14:anchorId="3F9273AE" wp14:editId="706CBA57">
            <wp:extent cx="1080000" cy="1080000"/>
            <wp:effectExtent l="0" t="0" r="635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D152" w14:textId="77777777" w:rsidR="000B2B94" w:rsidRPr="00C0196E" w:rsidRDefault="000B2B94">
      <w:pPr>
        <w:rPr>
          <w:rFonts w:ascii="Times New Roman" w:eastAsia="Times New Roman" w:hAnsi="Times New Roman" w:cs="Times New Roman"/>
          <w:i/>
          <w:color w:val="5B9BD5" w:themeColor="accent1"/>
          <w:szCs w:val="20"/>
          <w:lang w:eastAsia="de-DE"/>
        </w:rPr>
      </w:pPr>
    </w:p>
    <w:p w14:paraId="125D4039" w14:textId="20C31965" w:rsidR="00A561DD" w:rsidRPr="006F771E" w:rsidRDefault="00A561DD">
      <w:pPr>
        <w:rPr>
          <w:rFonts w:ascii="Times New Roman" w:eastAsia="Times New Roman" w:hAnsi="Times New Roman" w:cs="Times New Roman"/>
          <w:i/>
          <w:color w:val="5B9BD5" w:themeColor="accent1"/>
          <w:szCs w:val="20"/>
          <w:lang w:eastAsia="de-DE"/>
        </w:rPr>
      </w:pPr>
      <w:r w:rsidRPr="006F771E">
        <w:br w:type="page"/>
      </w:r>
      <w:bookmarkStart w:id="0" w:name="_GoBack"/>
      <w:bookmarkEnd w:id="0"/>
    </w:p>
    <w:p w14:paraId="0FE27A47" w14:textId="77777777" w:rsidR="00394779" w:rsidRPr="006F771E" w:rsidRDefault="00394779" w:rsidP="00543DDC">
      <w:pPr>
        <w:pStyle w:val="TextkrperGrauhinterlegt"/>
        <w:shd w:val="clear" w:color="auto" w:fill="BDD6EE" w:themeFill="accent1" w:themeFillTint="66"/>
        <w:rPr>
          <w:rStyle w:val="Fett"/>
        </w:rPr>
      </w:pPr>
      <w:r w:rsidRPr="006F771E">
        <w:rPr>
          <w:rStyle w:val="Fett"/>
        </w:rPr>
        <w:lastRenderedPageBreak/>
        <w:t>Datenkranz</w:t>
      </w:r>
    </w:p>
    <w:p w14:paraId="4D2EB831" w14:textId="63C04946" w:rsidR="00ED46D4" w:rsidRPr="006F771E" w:rsidRDefault="00ED46D4" w:rsidP="008960D6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C7EDBA" w14:textId="717D382A" w:rsidR="00ED46D4" w:rsidRPr="006F771E" w:rsidRDefault="00ED46D4" w:rsidP="008960D6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Fett" w:hAnsi="Arial Fett"/>
          <w:b/>
          <w:bCs/>
          <w:spacing w:val="40"/>
        </w:rPr>
      </w:pPr>
      <w:r w:rsidRPr="006F771E">
        <w:rPr>
          <w:rFonts w:ascii="Arial Fett" w:hAnsi="Arial Fett"/>
          <w:b/>
          <w:bCs/>
          <w:spacing w:val="40"/>
        </w:rPr>
        <w:t>KOOPERA</w:t>
      </w:r>
      <w:r w:rsidR="002C1F1B" w:rsidRPr="006F771E">
        <w:rPr>
          <w:rFonts w:ascii="Arial Fett" w:hAnsi="Arial Fett"/>
          <w:b/>
          <w:bCs/>
          <w:spacing w:val="40"/>
        </w:rPr>
        <w:t>T</w:t>
      </w:r>
      <w:r w:rsidRPr="006F771E">
        <w:rPr>
          <w:rFonts w:ascii="Arial Fett" w:hAnsi="Arial Fett"/>
          <w:b/>
          <w:bCs/>
          <w:spacing w:val="40"/>
        </w:rPr>
        <w:t>IONSVERTRAG</w:t>
      </w:r>
    </w:p>
    <w:p w14:paraId="00F0D094" w14:textId="5232E995" w:rsidR="00ED46D4" w:rsidRPr="006F771E" w:rsidRDefault="0071299D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zwischen der Proximus Versicherung AG und der Fahrschule Hinderks e. K.</w:t>
      </w:r>
    </w:p>
    <w:p w14:paraId="151BB1A1" w14:textId="35AC64D5" w:rsidR="00ED46D4" w:rsidRPr="006F771E" w:rsidRDefault="00ED46D4" w:rsidP="008960D6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771E">
        <w:t>[…]</w:t>
      </w:r>
    </w:p>
    <w:p w14:paraId="31A50C4C" w14:textId="23D57F27" w:rsidR="00945E07" w:rsidRPr="006F771E" w:rsidRDefault="00945E07" w:rsidP="008960D6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7BAFD8" w14:textId="14CBDEA0" w:rsidR="00945E07" w:rsidRPr="006F771E" w:rsidRDefault="00B24381" w:rsidP="008960D6">
      <w:pPr>
        <w:pStyle w:val="TextSitu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F771E">
        <w:rPr>
          <w:b/>
          <w:bCs/>
        </w:rPr>
        <w:t>Pflichten der Kooperationspartner</w:t>
      </w:r>
    </w:p>
    <w:p w14:paraId="1DA0FD1C" w14:textId="6236DD0B" w:rsidR="00ED46D4" w:rsidRPr="006F771E" w:rsidRDefault="00B24381" w:rsidP="008960D6">
      <w:pPr>
        <w:pStyle w:val="NummerierungAnfa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771E">
        <w:rPr>
          <w:rFonts w:cs="Arial"/>
          <w:szCs w:val="24"/>
        </w:rPr>
        <w:t>1</w:t>
      </w:r>
      <w:r w:rsidR="00ED46D4" w:rsidRPr="006F771E">
        <w:rPr>
          <w:rFonts w:cs="Arial"/>
          <w:szCs w:val="24"/>
        </w:rPr>
        <w:t>.</w:t>
      </w:r>
      <w:r w:rsidR="00ED46D4" w:rsidRPr="006F771E">
        <w:t xml:space="preserve"> Die Proximus Versicherung AG verpflichtet sich, für die Homepage der Fahrschule </w:t>
      </w:r>
      <w:r w:rsidR="0071299D">
        <w:t xml:space="preserve">Hinderks e. K. </w:t>
      </w:r>
      <w:r w:rsidR="00ED46D4" w:rsidRPr="006F771E">
        <w:t xml:space="preserve">ein maximal 3-minütiges Erklärvideo </w:t>
      </w:r>
      <w:r w:rsidR="00945E07" w:rsidRPr="006F771E">
        <w:t>bereit</w:t>
      </w:r>
      <w:r w:rsidR="00ED46D4" w:rsidRPr="006F771E">
        <w:t xml:space="preserve">zustellen. Inhalt dieses Videos </w:t>
      </w:r>
      <w:r w:rsidR="0071299D">
        <w:t>ist</w:t>
      </w:r>
      <w:r w:rsidR="0071299D" w:rsidRPr="006F771E">
        <w:t xml:space="preserve"> </w:t>
      </w:r>
      <w:r w:rsidR="00ED46D4" w:rsidRPr="006F771E">
        <w:t xml:space="preserve">die Abwicklung der erstmaligen Zulassung </w:t>
      </w:r>
      <w:r w:rsidR="00A561DD" w:rsidRPr="006F771E">
        <w:t>eines eigenen PKW</w:t>
      </w:r>
      <w:r w:rsidR="00BA3FF3">
        <w:t xml:space="preserve"> </w:t>
      </w:r>
      <w:r w:rsidR="00BA3FF3" w:rsidRPr="006F771E">
        <w:t>–</w:t>
      </w:r>
      <w:r w:rsidR="00945E07" w:rsidRPr="006F771E">
        <w:t xml:space="preserve"> unter Berücksichtigung versicherungstechnischer Aspekte</w:t>
      </w:r>
      <w:r w:rsidR="00ED46D4" w:rsidRPr="006F771E">
        <w:t>.</w:t>
      </w:r>
    </w:p>
    <w:p w14:paraId="4161E313" w14:textId="6351361A" w:rsidR="00ED46D4" w:rsidRPr="006F771E" w:rsidRDefault="00ED46D4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11B532" w14:textId="640B6600" w:rsidR="00E871B6" w:rsidRPr="006F771E" w:rsidRDefault="00B24381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771E">
        <w:t>2</w:t>
      </w:r>
      <w:r w:rsidR="00ED46D4" w:rsidRPr="006F771E">
        <w:t xml:space="preserve">. Im Gegenzug </w:t>
      </w:r>
      <w:r w:rsidR="00945E07" w:rsidRPr="006F771E">
        <w:t xml:space="preserve">verpflichtet sich die Fahrschule </w:t>
      </w:r>
      <w:r w:rsidR="00721F0E">
        <w:t xml:space="preserve">Hinderks e. K. </w:t>
      </w:r>
      <w:r w:rsidR="00945E07" w:rsidRPr="006F771E">
        <w:t>der</w:t>
      </w:r>
      <w:r w:rsidR="00ED46D4" w:rsidRPr="006F771E">
        <w:t xml:space="preserve"> Proximus Versicherung AG einen Veranstaltungstermin pro Quartal</w:t>
      </w:r>
      <w:r w:rsidR="00945E07" w:rsidRPr="006F771E">
        <w:t xml:space="preserve"> </w:t>
      </w:r>
      <w:r w:rsidR="00767A76" w:rsidRPr="006F771E">
        <w:t xml:space="preserve">im Anschluss an den theoretischen Fahrschulunterricht </w:t>
      </w:r>
      <w:r w:rsidR="00945E07" w:rsidRPr="006F771E">
        <w:t xml:space="preserve">zur Verfügung zu stellen. </w:t>
      </w:r>
    </w:p>
    <w:p w14:paraId="3D957A5B" w14:textId="6B122E9F" w:rsidR="00ED46D4" w:rsidRPr="006F771E" w:rsidRDefault="00767A76" w:rsidP="00CD5905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F771E">
        <w:t>Die</w:t>
      </w:r>
      <w:r w:rsidR="00ED46D4" w:rsidRPr="006F771E">
        <w:t xml:space="preserve"> Fahrschülerinnen und Fahrschüler </w:t>
      </w:r>
      <w:r w:rsidRPr="006F771E">
        <w:t xml:space="preserve">werden dabei </w:t>
      </w:r>
      <w:r w:rsidR="0053712C" w:rsidRPr="006F771E">
        <w:t>durch Vertreter</w:t>
      </w:r>
      <w:r w:rsidR="002250B2">
        <w:t>innen bzw. Vertreter</w:t>
      </w:r>
      <w:r w:rsidR="0053712C" w:rsidRPr="006F771E">
        <w:t xml:space="preserve"> der Proximus Versicherung AG </w:t>
      </w:r>
      <w:r w:rsidR="00ED46D4" w:rsidRPr="006F771E">
        <w:t xml:space="preserve">mit dem Versicherungsschutz vertraut </w:t>
      </w:r>
      <w:r w:rsidR="0053712C" w:rsidRPr="006F771E">
        <w:t>gemacht</w:t>
      </w:r>
      <w:r w:rsidR="00ED46D4" w:rsidRPr="006F771E">
        <w:t>.</w:t>
      </w:r>
      <w:r w:rsidR="0053712C" w:rsidRPr="006F771E">
        <w:t xml:space="preserve"> </w:t>
      </w:r>
      <w:r w:rsidR="00E871B6" w:rsidRPr="006F771E">
        <w:t xml:space="preserve">Eine </w:t>
      </w:r>
      <w:r w:rsidR="00721F0E">
        <w:t>foliengestützte Präsentation</w:t>
      </w:r>
      <w:r w:rsidR="00721F0E" w:rsidRPr="006F771E">
        <w:t xml:space="preserve"> </w:t>
      </w:r>
      <w:r w:rsidR="00E871B6" w:rsidRPr="006F771E">
        <w:t>der prämienbestimmenden Tarifmerkmale für Fahranfänger</w:t>
      </w:r>
      <w:r w:rsidR="0062311F">
        <w:t>innen und Fahranfänger</w:t>
      </w:r>
      <w:r w:rsidR="00E871B6" w:rsidRPr="006F771E">
        <w:t xml:space="preserve"> ist zwingend erforderlich. </w:t>
      </w:r>
    </w:p>
    <w:p w14:paraId="7B0B50E0" w14:textId="7C2A9AC1" w:rsidR="00D91055" w:rsidRPr="006F771E" w:rsidRDefault="00D91055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97FE836" w14:textId="7F77F85C" w:rsidR="00D91055" w:rsidRPr="006F771E" w:rsidRDefault="00D91055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F771E">
        <w:t xml:space="preserve">3. Die Proximus Versicherung AG erklärt sich damit einverstanden, zum Abschluss jedes Veranstaltungstermins alle Inhalte – auch des Erklärvideos – in geeigneter digitaler Form </w:t>
      </w:r>
      <w:r w:rsidR="00BA5DEC" w:rsidRPr="006F771E">
        <w:t>zeitgemäß</w:t>
      </w:r>
      <w:r w:rsidRPr="006F771E">
        <w:t xml:space="preserve"> abzufragen.</w:t>
      </w:r>
    </w:p>
    <w:p w14:paraId="7A3AF23D" w14:textId="426C0359" w:rsidR="00945E07" w:rsidRPr="006F771E" w:rsidRDefault="00945E07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4C95602" w14:textId="610C558E" w:rsidR="00945E07" w:rsidRPr="006F771E" w:rsidRDefault="00945E07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771E">
        <w:t>[…]</w:t>
      </w:r>
    </w:p>
    <w:p w14:paraId="313B1456" w14:textId="7420432A" w:rsidR="008960D6" w:rsidRPr="006F771E" w:rsidRDefault="008960D6" w:rsidP="008960D6">
      <w:pPr>
        <w:pStyle w:val="NummerierungFortsetz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D9DD1" w14:textId="495C22A2" w:rsidR="009E4508" w:rsidRPr="006F771E" w:rsidRDefault="009E4508" w:rsidP="009E4508">
      <w:pPr>
        <w:spacing w:after="0"/>
        <w:rPr>
          <w:lang w:eastAsia="de-DE"/>
        </w:rPr>
      </w:pPr>
    </w:p>
    <w:p w14:paraId="7EDAC045" w14:textId="33937150" w:rsidR="00926656" w:rsidRPr="006F771E" w:rsidRDefault="00926656" w:rsidP="009E4508">
      <w:pPr>
        <w:rPr>
          <w:b/>
          <w:bCs/>
          <w:lang w:eastAsia="de-DE"/>
        </w:rPr>
      </w:pPr>
    </w:p>
    <w:tbl>
      <w:tblPr>
        <w:tblStyle w:val="Tabellenraster"/>
        <w:tblW w:w="9645" w:type="dxa"/>
        <w:tblInd w:w="23" w:type="dxa"/>
        <w:tblLook w:val="04A0" w:firstRow="1" w:lastRow="0" w:firstColumn="1" w:lastColumn="0" w:noHBand="0" w:noVBand="1"/>
      </w:tblPr>
      <w:tblGrid>
        <w:gridCol w:w="9645"/>
      </w:tblGrid>
      <w:tr w:rsidR="00476583" w:rsidRPr="006F771E" w14:paraId="40C64731" w14:textId="77777777" w:rsidTr="00BC3A43">
        <w:tc>
          <w:tcPr>
            <w:tcW w:w="9645" w:type="dxa"/>
            <w:shd w:val="clear" w:color="auto" w:fill="D9D9D9" w:themeFill="background1" w:themeFillShade="D9"/>
          </w:tcPr>
          <w:p w14:paraId="7ED4B23A" w14:textId="03A59EA1" w:rsidR="00476583" w:rsidRPr="006F771E" w:rsidRDefault="00476583" w:rsidP="00BC3A43">
            <w:pPr>
              <w:spacing w:before="120" w:after="120"/>
              <w:jc w:val="both"/>
              <w:rPr>
                <w:rFonts w:cs="Arial"/>
                <w:b/>
              </w:rPr>
            </w:pPr>
            <w:r w:rsidRPr="006F771E">
              <w:rPr>
                <w:rFonts w:cs="Arial"/>
                <w:b/>
              </w:rPr>
              <w:t>Intranet-Portal der Proximus Versicherung AG</w:t>
            </w:r>
          </w:p>
        </w:tc>
      </w:tr>
      <w:tr w:rsidR="00B04344" w:rsidRPr="006F771E" w14:paraId="0E702785" w14:textId="77777777" w:rsidTr="003A5205">
        <w:trPr>
          <w:trHeight w:val="1228"/>
        </w:trPr>
        <w:tc>
          <w:tcPr>
            <w:tcW w:w="9645" w:type="dxa"/>
          </w:tcPr>
          <w:p w14:paraId="66C7B42D" w14:textId="3A6EE51A" w:rsidR="00B04344" w:rsidRDefault="00B04344" w:rsidP="00BC3A43">
            <w:pPr>
              <w:spacing w:before="120" w:after="120"/>
              <w:rPr>
                <w:rStyle w:val="Hyperlink"/>
                <w:rFonts w:cs="Arial"/>
                <w:color w:val="auto"/>
                <w:u w:val="none"/>
              </w:rPr>
            </w:pPr>
            <w:r w:rsidRPr="006F771E">
              <w:rPr>
                <w:rStyle w:val="Hyperlink"/>
                <w:rFonts w:cs="Arial"/>
                <w:color w:val="auto"/>
                <w:u w:val="none"/>
              </w:rPr>
              <w:t xml:space="preserve">Beispiel für </w:t>
            </w:r>
            <w:r>
              <w:rPr>
                <w:rStyle w:val="Hyperlink"/>
                <w:rFonts w:cs="Arial"/>
                <w:color w:val="auto"/>
                <w:u w:val="none"/>
              </w:rPr>
              <w:t>eine Anwendung zur</w:t>
            </w:r>
            <w:r w:rsidRPr="006F771E">
              <w:rPr>
                <w:rStyle w:val="Hyperlink"/>
                <w:rFonts w:cs="Arial"/>
                <w:color w:val="auto"/>
                <w:u w:val="none"/>
              </w:rPr>
              <w:t xml:space="preserve"> Erstellung eines interaktiven Quiz</w:t>
            </w:r>
            <w:r>
              <w:rPr>
                <w:rStyle w:val="Hyperlink"/>
                <w:rFonts w:cs="Arial"/>
                <w:color w:val="auto"/>
                <w:u w:val="none"/>
              </w:rPr>
              <w:t>zes</w:t>
            </w:r>
            <w:r w:rsidRPr="006F771E">
              <w:rPr>
                <w:rStyle w:val="Hyperlink"/>
                <w:rFonts w:cs="Arial"/>
                <w:color w:val="auto"/>
                <w:u w:val="none"/>
              </w:rPr>
              <w:t>:</w:t>
            </w:r>
          </w:p>
          <w:p w14:paraId="0B7A3D40" w14:textId="74FBC530" w:rsidR="00B04344" w:rsidRPr="006F771E" w:rsidRDefault="00C15697" w:rsidP="00B04344">
            <w:pPr>
              <w:spacing w:before="120" w:after="120"/>
              <w:rPr>
                <w:rFonts w:cs="Arial"/>
              </w:rPr>
            </w:pPr>
            <w:hyperlink r:id="rId16" w:history="1">
              <w:r w:rsidR="00B04344" w:rsidRPr="00404994">
                <w:rPr>
                  <w:rStyle w:val="Hyperlink"/>
                  <w:rFonts w:cs="Arial"/>
                </w:rPr>
                <w:t>https://learningapps.org/</w:t>
              </w:r>
            </w:hyperlink>
            <w:hyperlink r:id="rId17" w:history="1"/>
          </w:p>
          <w:p w14:paraId="287AEA02" w14:textId="79C8C46F" w:rsidR="00B04344" w:rsidRPr="006F771E" w:rsidRDefault="00B04344" w:rsidP="00BC3A43">
            <w:pPr>
              <w:spacing w:before="120" w:after="120"/>
              <w:rPr>
                <w:rFonts w:cs="Arial"/>
              </w:rPr>
            </w:pPr>
          </w:p>
        </w:tc>
      </w:tr>
    </w:tbl>
    <w:p w14:paraId="184231F9" w14:textId="77777777" w:rsidR="004712C4" w:rsidRPr="006F771E" w:rsidRDefault="004712C4" w:rsidP="00A561DD">
      <w:pPr>
        <w:spacing w:after="0" w:line="276" w:lineRule="auto"/>
        <w:jc w:val="both"/>
        <w:rPr>
          <w:rFonts w:ascii="Times New Roman" w:hAnsi="Times New Roman"/>
          <w:i/>
          <w:color w:val="2F5496" w:themeColor="accent5" w:themeShade="BF"/>
        </w:rPr>
      </w:pPr>
    </w:p>
    <w:sectPr w:rsidR="004712C4" w:rsidRPr="006F771E" w:rsidSect="00D96C5C">
      <w:headerReference w:type="default" r:id="rId18"/>
      <w:footerReference w:type="default" r:id="rId1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51BE7" w16cex:dateUtc="2022-02-26T20:36:00Z"/>
  <w16cex:commentExtensible w16cex:durableId="25C63869" w16cex:dateUtc="2022-02-27T16:50:00Z"/>
  <w16cex:commentExtensible w16cex:durableId="25C63A9B" w16cex:dateUtc="2022-02-27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11620A" w16cid:durableId="25C51BE7"/>
  <w16cid:commentId w16cid:paraId="7B2A6B2F" w16cid:durableId="25C63869"/>
  <w16cid:commentId w16cid:paraId="22CCEC8E" w16cid:durableId="25C63A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5A03" w14:textId="77777777" w:rsidR="00BC3A43" w:rsidRDefault="00BC3A43" w:rsidP="00394779">
      <w:pPr>
        <w:spacing w:after="0" w:line="240" w:lineRule="auto"/>
      </w:pPr>
      <w:r>
        <w:separator/>
      </w:r>
    </w:p>
  </w:endnote>
  <w:endnote w:type="continuationSeparator" w:id="0">
    <w:p w14:paraId="09EAAEAF" w14:textId="77777777" w:rsidR="00BC3A43" w:rsidRDefault="00BC3A43" w:rsidP="00394779">
      <w:pPr>
        <w:spacing w:after="0" w:line="240" w:lineRule="auto"/>
      </w:pPr>
      <w:r>
        <w:continuationSeparator/>
      </w:r>
    </w:p>
  </w:endnote>
  <w:endnote w:type="continuationNotice" w:id="1">
    <w:p w14:paraId="5AC533CE" w14:textId="77777777" w:rsidR="00A94545" w:rsidRDefault="00A94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BC3A43" w:rsidRPr="00921C3E" w14:paraId="6AFC0AA3" w14:textId="77777777" w:rsidTr="00D96C5C">
      <w:tc>
        <w:tcPr>
          <w:tcW w:w="8613" w:type="dxa"/>
          <w:vAlign w:val="bottom"/>
        </w:tcPr>
        <w:p w14:paraId="209D86BB" w14:textId="5EBDABA2" w:rsidR="00BC3A43" w:rsidRPr="00A16C25" w:rsidRDefault="00BC3A43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C15697">
            <w:rPr>
              <w:rFonts w:cs="Arial"/>
              <w:bCs/>
              <w:noProof/>
              <w:sz w:val="14"/>
              <w:szCs w:val="14"/>
            </w:rPr>
            <w:t>WKV-LF08-LS-Kraftfahrt-Versicherungsschutz für Fahranfänger darstellen.docx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3D35BC47" w:rsidR="00BC3A43" w:rsidRPr="00A16C25" w:rsidRDefault="00BC3A43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C15697">
            <w:rPr>
              <w:rFonts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C15697">
            <w:rPr>
              <w:rFonts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BC3A43" w:rsidRPr="00025E0D" w:rsidRDefault="00BC3A43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A51FC" w14:textId="77777777" w:rsidR="00BC3A43" w:rsidRDefault="00BC3A43" w:rsidP="00394779">
      <w:pPr>
        <w:spacing w:after="0" w:line="240" w:lineRule="auto"/>
      </w:pPr>
      <w:r>
        <w:separator/>
      </w:r>
    </w:p>
  </w:footnote>
  <w:footnote w:type="continuationSeparator" w:id="0">
    <w:p w14:paraId="34185B6A" w14:textId="77777777" w:rsidR="00BC3A43" w:rsidRDefault="00BC3A43" w:rsidP="00394779">
      <w:pPr>
        <w:spacing w:after="0" w:line="240" w:lineRule="auto"/>
      </w:pPr>
      <w:r>
        <w:continuationSeparator/>
      </w:r>
    </w:p>
  </w:footnote>
  <w:footnote w:type="continuationNotice" w:id="1">
    <w:p w14:paraId="0A85FFA0" w14:textId="77777777" w:rsidR="00A94545" w:rsidRDefault="00A94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43230E3B" w:rsidR="00BC3A43" w:rsidRPr="00E156D0" w:rsidRDefault="00BC3A43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BC3A43" w:rsidRPr="007A4E9F" w:rsidRDefault="00BC3A43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26" style="position:absolute;left:0;text-align:left;margin-left:-7.8pt;margin-top:-9.5pt;width:424pt;height:26.1pt;z-index:251658241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BC3A43" w:rsidRPr="007A4E9F" w:rsidRDefault="00BC3A43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8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44B30" wp14:editId="3F494C3B">
              <wp:simplePos x="0" y="0"/>
              <wp:positionH relativeFrom="column">
                <wp:posOffset>3689985</wp:posOffset>
              </wp:positionH>
              <wp:positionV relativeFrom="paragraph">
                <wp:posOffset>-288290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41A84" w14:textId="6407440E" w:rsidR="00BC3A43" w:rsidRPr="00426B40" w:rsidRDefault="00BC3A43" w:rsidP="008802B2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2F5496" w:themeColor="accent5" w:themeShade="BF"/>
                              <w:sz w:val="48"/>
                              <w:szCs w:val="48"/>
                            </w:rPr>
                          </w:pPr>
                          <w:r w:rsidRPr="00426B40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2F5496" w:themeColor="accent5" w:themeShade="BF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544B30" id="Textfeld 2" o:spid="_x0000_s1029" type="#_x0000_t202" style="position:absolute;left:0;text-align:left;margin-left:290.55pt;margin-top:-22.7pt;width:128.2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u1IgIAACI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/jwHzE/S1SBOqJeHwbT4yHDTgv9NSYeGrWj4dWBeUqI/W9T8&#10;ZjKbJYfnw2y+RIWIv47U1xFmOUJVNFIybLcxv4okh4U7nE2jsmyvTM6U0YhZzfOjSU6/Pues16e9&#10;eQYAAP//AwBQSwMEFAAGAAgAAAAhAMKkvjbfAAAACgEAAA8AAABkcnMvZG93bnJldi54bWxMj91O&#10;g0AQhe9NfIfNmHhj2gXlT2Rp1KTG29Y+wABTILK7hN0W+vZOr+zl5Hw555tis+hBnGlyvTUKwnUA&#10;gkxtm960Cg4/21UGwnk0DQ7WkIILOdiU93cF5o2dzY7Oe98KLjEuRwWd92Mupas70ujWdiTD2dFO&#10;Gj2fUyubCWcu14N8DoJEauwNL3Q40mdH9e/+pBUcv+en+HWuvvwh3UXJB/ZpZS9KPT4s728gPC3+&#10;H4arPqtDyU6VPZnGiUFBnIUhowpWURyBYCJ7SRMQFaNxBrIs5O0L5R8AAAD//wMAUEsBAi0AFAAG&#10;AAgAAAAhALaDOJL+AAAA4QEAABMAAAAAAAAAAAAAAAAAAAAAAFtDb250ZW50X1R5cGVzXS54bWxQ&#10;SwECLQAUAAYACAAAACEAOP0h/9YAAACUAQAACwAAAAAAAAAAAAAAAAAvAQAAX3JlbHMvLnJlbHNQ&#10;SwECLQAUAAYACAAAACEAjhL7tSICAAAiBAAADgAAAAAAAAAAAAAAAAAuAgAAZHJzL2Uyb0RvYy54&#10;bWxQSwECLQAUAAYACAAAACEAwqS+Nt8AAAAKAQAADwAAAAAAAAAAAAAAAAB8BAAAZHJzL2Rvd25y&#10;ZXYueG1sUEsFBgAAAAAEAAQA8wAAAIgFAAAAAA==&#10;" stroked="f">
              <v:textbox>
                <w:txbxContent>
                  <w:p w14:paraId="59C41A84" w14:textId="6407440E" w:rsidR="00BC3A43" w:rsidRPr="00426B40" w:rsidRDefault="00BC3A43" w:rsidP="008802B2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2F5496" w:themeColor="accent5" w:themeShade="BF"/>
                        <w:sz w:val="48"/>
                        <w:szCs w:val="48"/>
                      </w:rPr>
                    </w:pPr>
                    <w:r w:rsidRPr="00426B40">
                      <w:rPr>
                        <w:rFonts w:ascii="Times New Roman" w:hAnsi="Times New Roman"/>
                        <w:b/>
                        <w:i/>
                        <w:vanish/>
                        <w:color w:val="2F5496" w:themeColor="accent5" w:themeShade="BF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A13"/>
    <w:multiLevelType w:val="hybridMultilevel"/>
    <w:tmpl w:val="75D86084"/>
    <w:lvl w:ilvl="0" w:tplc="226C0E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71304"/>
    <w:multiLevelType w:val="hybridMultilevel"/>
    <w:tmpl w:val="67B28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48DA"/>
    <w:multiLevelType w:val="hybridMultilevel"/>
    <w:tmpl w:val="3C9C7E62"/>
    <w:lvl w:ilvl="0" w:tplc="634A85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0CE5E85"/>
    <w:multiLevelType w:val="hybridMultilevel"/>
    <w:tmpl w:val="BF14F8F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F6853"/>
    <w:multiLevelType w:val="hybridMultilevel"/>
    <w:tmpl w:val="FB266420"/>
    <w:lvl w:ilvl="0" w:tplc="B36E04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336F3"/>
    <w:rsid w:val="000775C4"/>
    <w:rsid w:val="00092DFE"/>
    <w:rsid w:val="000A7DE7"/>
    <w:rsid w:val="000B2B94"/>
    <w:rsid w:val="000B2CE5"/>
    <w:rsid w:val="000C2712"/>
    <w:rsid w:val="000C614E"/>
    <w:rsid w:val="00133DC0"/>
    <w:rsid w:val="0014483D"/>
    <w:rsid w:val="0016217D"/>
    <w:rsid w:val="001F7421"/>
    <w:rsid w:val="002250B2"/>
    <w:rsid w:val="00225FD2"/>
    <w:rsid w:val="00250B0D"/>
    <w:rsid w:val="0027787B"/>
    <w:rsid w:val="00294CFC"/>
    <w:rsid w:val="002A23B6"/>
    <w:rsid w:val="002A6B3B"/>
    <w:rsid w:val="002C1F1B"/>
    <w:rsid w:val="002C40E6"/>
    <w:rsid w:val="00310E3A"/>
    <w:rsid w:val="00314F98"/>
    <w:rsid w:val="00316CB3"/>
    <w:rsid w:val="0032440D"/>
    <w:rsid w:val="0034402A"/>
    <w:rsid w:val="003475E2"/>
    <w:rsid w:val="0036077D"/>
    <w:rsid w:val="0036361E"/>
    <w:rsid w:val="00394779"/>
    <w:rsid w:val="003A5205"/>
    <w:rsid w:val="003D12E1"/>
    <w:rsid w:val="00415FC6"/>
    <w:rsid w:val="00417C98"/>
    <w:rsid w:val="00421C03"/>
    <w:rsid w:val="00426B40"/>
    <w:rsid w:val="004278A4"/>
    <w:rsid w:val="00434755"/>
    <w:rsid w:val="004558A2"/>
    <w:rsid w:val="00465B27"/>
    <w:rsid w:val="004712C4"/>
    <w:rsid w:val="00474610"/>
    <w:rsid w:val="00476583"/>
    <w:rsid w:val="004C16EE"/>
    <w:rsid w:val="004C24B0"/>
    <w:rsid w:val="004E064B"/>
    <w:rsid w:val="00516B98"/>
    <w:rsid w:val="0053712C"/>
    <w:rsid w:val="00537824"/>
    <w:rsid w:val="00543DDC"/>
    <w:rsid w:val="00546C80"/>
    <w:rsid w:val="005502E1"/>
    <w:rsid w:val="00557E1F"/>
    <w:rsid w:val="00585853"/>
    <w:rsid w:val="00597ECF"/>
    <w:rsid w:val="005A0DC0"/>
    <w:rsid w:val="005C0699"/>
    <w:rsid w:val="005C2698"/>
    <w:rsid w:val="005D41EE"/>
    <w:rsid w:val="005E38A3"/>
    <w:rsid w:val="005F7A0C"/>
    <w:rsid w:val="0060010C"/>
    <w:rsid w:val="00614DF7"/>
    <w:rsid w:val="00616AB1"/>
    <w:rsid w:val="0062311F"/>
    <w:rsid w:val="00624501"/>
    <w:rsid w:val="006306CC"/>
    <w:rsid w:val="00631799"/>
    <w:rsid w:val="0063577B"/>
    <w:rsid w:val="00663B7F"/>
    <w:rsid w:val="00664ACC"/>
    <w:rsid w:val="00664B2A"/>
    <w:rsid w:val="00674D50"/>
    <w:rsid w:val="0069069B"/>
    <w:rsid w:val="00694F97"/>
    <w:rsid w:val="006C2266"/>
    <w:rsid w:val="006C762F"/>
    <w:rsid w:val="006D48FE"/>
    <w:rsid w:val="006E2606"/>
    <w:rsid w:val="006E3047"/>
    <w:rsid w:val="006F30F7"/>
    <w:rsid w:val="006F6D88"/>
    <w:rsid w:val="006F771E"/>
    <w:rsid w:val="0070666B"/>
    <w:rsid w:val="00710F37"/>
    <w:rsid w:val="0071299D"/>
    <w:rsid w:val="00721F0E"/>
    <w:rsid w:val="007428CB"/>
    <w:rsid w:val="00760751"/>
    <w:rsid w:val="007640AB"/>
    <w:rsid w:val="00767A76"/>
    <w:rsid w:val="007771E1"/>
    <w:rsid w:val="007802AB"/>
    <w:rsid w:val="00787DC4"/>
    <w:rsid w:val="00794D53"/>
    <w:rsid w:val="007A171C"/>
    <w:rsid w:val="007A4E9F"/>
    <w:rsid w:val="007B1BFE"/>
    <w:rsid w:val="007E5655"/>
    <w:rsid w:val="007E6F02"/>
    <w:rsid w:val="007F3E85"/>
    <w:rsid w:val="00815156"/>
    <w:rsid w:val="00830459"/>
    <w:rsid w:val="008608F6"/>
    <w:rsid w:val="00870748"/>
    <w:rsid w:val="008802B2"/>
    <w:rsid w:val="008850E8"/>
    <w:rsid w:val="008854FB"/>
    <w:rsid w:val="00890ADB"/>
    <w:rsid w:val="008960D6"/>
    <w:rsid w:val="008E11D2"/>
    <w:rsid w:val="008E53B9"/>
    <w:rsid w:val="008F64F4"/>
    <w:rsid w:val="00905297"/>
    <w:rsid w:val="00921C3E"/>
    <w:rsid w:val="0092649B"/>
    <w:rsid w:val="00926656"/>
    <w:rsid w:val="00926BFA"/>
    <w:rsid w:val="0094395B"/>
    <w:rsid w:val="00945E07"/>
    <w:rsid w:val="0096218B"/>
    <w:rsid w:val="00970318"/>
    <w:rsid w:val="00983F92"/>
    <w:rsid w:val="009A15B9"/>
    <w:rsid w:val="009C21BF"/>
    <w:rsid w:val="009D0268"/>
    <w:rsid w:val="009D17AA"/>
    <w:rsid w:val="009D7CBB"/>
    <w:rsid w:val="009E4508"/>
    <w:rsid w:val="00A0541F"/>
    <w:rsid w:val="00A12348"/>
    <w:rsid w:val="00A142C2"/>
    <w:rsid w:val="00A16C25"/>
    <w:rsid w:val="00A4366D"/>
    <w:rsid w:val="00A52E2E"/>
    <w:rsid w:val="00A553F9"/>
    <w:rsid w:val="00A561DD"/>
    <w:rsid w:val="00A66691"/>
    <w:rsid w:val="00A666D0"/>
    <w:rsid w:val="00A852D7"/>
    <w:rsid w:val="00A94545"/>
    <w:rsid w:val="00AA0C7F"/>
    <w:rsid w:val="00AB1F14"/>
    <w:rsid w:val="00AB31ED"/>
    <w:rsid w:val="00AB55E8"/>
    <w:rsid w:val="00B04344"/>
    <w:rsid w:val="00B23AEB"/>
    <w:rsid w:val="00B24381"/>
    <w:rsid w:val="00B37697"/>
    <w:rsid w:val="00B407F0"/>
    <w:rsid w:val="00B54F20"/>
    <w:rsid w:val="00B67202"/>
    <w:rsid w:val="00B75C92"/>
    <w:rsid w:val="00B80CF5"/>
    <w:rsid w:val="00BA3FF3"/>
    <w:rsid w:val="00BA5DEC"/>
    <w:rsid w:val="00BC3A43"/>
    <w:rsid w:val="00BE4ED3"/>
    <w:rsid w:val="00C00B68"/>
    <w:rsid w:val="00C0196E"/>
    <w:rsid w:val="00C121CE"/>
    <w:rsid w:val="00C14385"/>
    <w:rsid w:val="00C15697"/>
    <w:rsid w:val="00C53529"/>
    <w:rsid w:val="00C5548C"/>
    <w:rsid w:val="00C8480A"/>
    <w:rsid w:val="00CA6559"/>
    <w:rsid w:val="00CA68C9"/>
    <w:rsid w:val="00CB1D7B"/>
    <w:rsid w:val="00CD0291"/>
    <w:rsid w:val="00CD0355"/>
    <w:rsid w:val="00CD5905"/>
    <w:rsid w:val="00CE0796"/>
    <w:rsid w:val="00CE12E3"/>
    <w:rsid w:val="00CF1E57"/>
    <w:rsid w:val="00CF7084"/>
    <w:rsid w:val="00D05882"/>
    <w:rsid w:val="00D16BEC"/>
    <w:rsid w:val="00D204F7"/>
    <w:rsid w:val="00D52033"/>
    <w:rsid w:val="00D5258F"/>
    <w:rsid w:val="00D81CC9"/>
    <w:rsid w:val="00D8392A"/>
    <w:rsid w:val="00D91055"/>
    <w:rsid w:val="00D92C80"/>
    <w:rsid w:val="00D96C5C"/>
    <w:rsid w:val="00DD499E"/>
    <w:rsid w:val="00DD69BF"/>
    <w:rsid w:val="00DE4B92"/>
    <w:rsid w:val="00DE7511"/>
    <w:rsid w:val="00DF58AA"/>
    <w:rsid w:val="00DF6861"/>
    <w:rsid w:val="00E156D0"/>
    <w:rsid w:val="00E55BD4"/>
    <w:rsid w:val="00E809CD"/>
    <w:rsid w:val="00E871B6"/>
    <w:rsid w:val="00E9459F"/>
    <w:rsid w:val="00E97A95"/>
    <w:rsid w:val="00ED46D4"/>
    <w:rsid w:val="00EE06E1"/>
    <w:rsid w:val="00F16165"/>
    <w:rsid w:val="00F2596E"/>
    <w:rsid w:val="00F27053"/>
    <w:rsid w:val="00F515B0"/>
    <w:rsid w:val="00F635CC"/>
    <w:rsid w:val="00F75106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  <w15:docId w15:val="{241BCEDE-6E55-4809-8889-B5525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6F6D88"/>
    <w:pPr>
      <w:numPr>
        <w:numId w:val="0"/>
      </w:numPr>
      <w:ind w:left="284"/>
    </w:pPr>
    <w:rPr>
      <w:rFonts w:ascii="Times New Roman" w:hAnsi="Times New Roman"/>
      <w:i/>
      <w:vanish/>
      <w:color w:val="5B9BD5" w:themeColor="accent1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6F6D88"/>
    <w:rPr>
      <w:rFonts w:ascii="Times New Roman" w:eastAsia="Times New Roman" w:hAnsi="Times New Roman" w:cs="Times New Roman"/>
      <w:i/>
      <w:vanish/>
      <w:color w:val="5B9BD5" w:themeColor="accent1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8151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515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1515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850E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4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45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459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45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459F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2649B"/>
    <w:pPr>
      <w:spacing w:after="0" w:line="240" w:lineRule="auto"/>
    </w:pPr>
    <w:rPr>
      <w:rFonts w:ascii="Arial" w:hAnsi="Aria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O0htQVYlMIo" TargetMode="External"/><Relationship Id="rId1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nkeDior9Kc" TargetMode="External"/><Relationship Id="rId17" Type="http://schemas.openxmlformats.org/officeDocument/2006/relationships/hyperlink" Target="https://learningapps.org/display?v=p2xi57h0a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app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_rN3hDomaB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rningapps.org/display?v=p2xi57h0a20" TargetMode="Externa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F50FD6-7C82-4B00-BFB9-63D02FD7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EB6C6-92AF-4165-BE75-ACBAE275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4848</Characters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2016-01-26T14:05:00Z</cp:lastPrinted>
  <dcterms:created xsi:type="dcterms:W3CDTF">2022-03-07T18:46:00Z</dcterms:created>
  <dcterms:modified xsi:type="dcterms:W3CDTF">2022-04-08T09:41:00Z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0x0101006D73C148116023478A033977EB97522E</vt:lpwstr>
  </property>
</Properties>
</file>