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FA1F7F" w:rsidRPr="004D3218" w14:paraId="241146C0" w14:textId="6E0B5CC9" w:rsidTr="00DA2B67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FA1F7F" w:rsidRPr="006002FE" w:rsidRDefault="00FA1F7F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F38CDF" w14:textId="71B90876" w:rsidR="00FA1F7F" w:rsidRPr="00FA1F7F" w:rsidRDefault="00FA1F7F" w:rsidP="00FA1F7F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D40AF1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6C86804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  <w:r w:rsidR="007F1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114B2B56" w:rsidR="00AB093F" w:rsidRPr="006002FE" w:rsidRDefault="0090373D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453E0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71A4C6E" w:rsidR="00AB093F" w:rsidRPr="007F17AA" w:rsidRDefault="00F453E0" w:rsidP="000970ED">
            <w:pPr>
              <w:pStyle w:val="TZielnanalyseKopf2"/>
              <w:rPr>
                <w:sz w:val="24"/>
                <w:szCs w:val="24"/>
              </w:rPr>
            </w:pPr>
            <w:r w:rsidRPr="00F453E0">
              <w:rPr>
                <w:sz w:val="24"/>
                <w:szCs w:val="24"/>
              </w:rPr>
              <w:t>Die eigene Rolle im Betrieb und im Wirtschaftsleben mitgestalten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87402A2" w:rsidR="00AB093F" w:rsidRPr="00850772" w:rsidRDefault="00576B4A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7B118FAE" w:rsidR="007F17AA" w:rsidRPr="00623881" w:rsidRDefault="00623881" w:rsidP="0062388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23881">
              <w:rPr>
                <w:b/>
                <w:sz w:val="24"/>
                <w:szCs w:val="24"/>
              </w:rPr>
              <w:t>Die Schülerinnen und Schüler verfügen über die Kompetenz, ihre Rolle als Auszubildende,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3881">
              <w:rPr>
                <w:b/>
                <w:sz w:val="24"/>
                <w:szCs w:val="24"/>
              </w:rPr>
              <w:t>als Mitarbeiterinnen und Mitarbeiter und ihre eigene Stellung im Wirtschaftsleben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3881">
              <w:rPr>
                <w:b/>
                <w:sz w:val="24"/>
                <w:szCs w:val="24"/>
              </w:rPr>
              <w:t>selbstverantwortlich wahrzunehmen und mitzugestalten.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DA2B67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0BD08E58" w:rsidR="007F17AA" w:rsidRPr="004D3218" w:rsidRDefault="004E2281" w:rsidP="004E2281">
            <w:pPr>
              <w:pStyle w:val="TZielnanalyseKopf"/>
            </w:pPr>
            <w:r>
              <w:t>Lehrkräfte</w:t>
            </w:r>
            <w:r w:rsidR="007F17AA" w:rsidRPr="004D3218">
              <w:t>team</w:t>
            </w:r>
          </w:p>
        </w:tc>
      </w:tr>
      <w:tr w:rsidR="007F17AA" w:rsidRPr="004D3218" w14:paraId="241146D6" w14:textId="77777777" w:rsidTr="00DA2B67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DA2B67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DA2B67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B" w14:textId="77777777" w:rsidR="007B5799" w:rsidRPr="000970ED" w:rsidRDefault="007B5799" w:rsidP="00D909FB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C" w14:textId="77777777" w:rsidR="007B5799" w:rsidRPr="000970ED" w:rsidRDefault="007B5799" w:rsidP="00D909FB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D" w14:textId="77777777" w:rsidR="007B5799" w:rsidRPr="000970ED" w:rsidRDefault="007B5799" w:rsidP="00D909FB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E" w14:textId="77777777" w:rsidR="007B5799" w:rsidRPr="000970ED" w:rsidRDefault="007B5799" w:rsidP="00D909FB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DF" w14:textId="4EB4D088" w:rsidR="006002FE" w:rsidRDefault="006002FE" w:rsidP="00D909FB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D909FB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1" w14:textId="3D583729" w:rsidR="007B5799" w:rsidRPr="000970ED" w:rsidRDefault="007B5799" w:rsidP="00D909FB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1146E2" w14:textId="77777777" w:rsidR="007B5799" w:rsidRPr="000970ED" w:rsidRDefault="007B5799" w:rsidP="00D909FB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45320E" w:rsidRPr="006D185A" w14:paraId="04683A3F" w14:textId="77777777" w:rsidTr="00DA2B67">
        <w:trPr>
          <w:trHeight w:val="1665"/>
        </w:trPr>
        <w:tc>
          <w:tcPr>
            <w:tcW w:w="1331" w:type="pct"/>
            <w:vMerge w:val="restart"/>
            <w:tcBorders>
              <w:top w:val="single" w:sz="18" w:space="0" w:color="auto"/>
            </w:tcBorders>
            <w:shd w:val="clear" w:color="auto" w:fill="FFFF99"/>
          </w:tcPr>
          <w:p w14:paraId="083DAF1D" w14:textId="07E5CDD2" w:rsidR="00623881" w:rsidRDefault="0062388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623881">
              <w:rPr>
                <w:sz w:val="20"/>
                <w:szCs w:val="20"/>
              </w:rPr>
              <w:t>Die Schülerinnen und Schüler bereiten auch im Team eine lernfeldbezogene Präsentation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strukturiert und adressatengerecht vor und wählen zur Präsentation analoge und digitale Medien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aus.</w:t>
            </w:r>
          </w:p>
          <w:p w14:paraId="29E6879A" w14:textId="77777777" w:rsidR="0045320E" w:rsidRDefault="0045320E" w:rsidP="005A6802">
            <w:pPr>
              <w:pStyle w:val="TZielnanalysetext"/>
              <w:rPr>
                <w:sz w:val="20"/>
                <w:szCs w:val="20"/>
              </w:rPr>
            </w:pPr>
          </w:p>
          <w:p w14:paraId="47272AD5" w14:textId="4BBB9E8A" w:rsidR="0045320E" w:rsidRPr="00F453E0" w:rsidRDefault="0062388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881">
              <w:rPr>
                <w:sz w:val="20"/>
                <w:szCs w:val="20"/>
              </w:rPr>
              <w:t>Dazu wenden sie Arbeits- und Lernstrategien, problemlösende Methoden sowie projektorientierte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Arbeitsweisen an. Sie präsentieren ihre Arbeitsergebnisse, beurteilen diese und das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eigene Verhalten selbstkritisch und setzen konstruktives Feedback um.</w:t>
            </w:r>
            <w:r w:rsidR="0045320E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vMerge w:val="restart"/>
            <w:tcBorders>
              <w:top w:val="single" w:sz="18" w:space="0" w:color="auto"/>
            </w:tcBorders>
            <w:shd w:val="clear" w:color="auto" w:fill="FFFF99"/>
          </w:tcPr>
          <w:p w14:paraId="44A30605" w14:textId="1DC695D7" w:rsidR="0045320E" w:rsidRPr="00C935F1" w:rsidRDefault="0045320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</w:tcPr>
          <w:p w14:paraId="3D2AC316" w14:textId="31BDD68B" w:rsidR="0045320E" w:rsidRDefault="0045320E" w:rsidP="003223E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LS00 </w:t>
            </w:r>
            <w:r w:rsidRPr="003223E4">
              <w:rPr>
                <w:b/>
                <w:sz w:val="20"/>
                <w:szCs w:val="20"/>
              </w:rPr>
              <w:t>Lernfeldbezogene Präsentation durchführen</w:t>
            </w:r>
          </w:p>
        </w:tc>
        <w:tc>
          <w:tcPr>
            <w:tcW w:w="694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</w:tcPr>
          <w:p w14:paraId="2C8AF198" w14:textId="676BBEEB" w:rsidR="0045320E" w:rsidRDefault="0045320E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</w:t>
            </w:r>
          </w:p>
        </w:tc>
        <w:tc>
          <w:tcPr>
            <w:tcW w:w="880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</w:tcPr>
          <w:p w14:paraId="5199E8F8" w14:textId="6951A0CD" w:rsidR="00D41BC3" w:rsidRDefault="00D41BC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7B92CF3B" w14:textId="664EC26A" w:rsidR="00D41BC3" w:rsidRDefault="002D75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5C81FFFE" w14:textId="101D5D88" w:rsidR="0045320E" w:rsidRDefault="00D41BC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69631C73" w14:textId="32C65C27" w:rsidR="00D41BC3" w:rsidRPr="00C935F1" w:rsidRDefault="002D75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</w:tcPr>
          <w:p w14:paraId="1A474584" w14:textId="06F0A7EC" w:rsidR="0045320E" w:rsidRDefault="0045320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  <w:bottom w:val="single" w:sz="4" w:space="0" w:color="auto"/>
            </w:tcBorders>
            <w:shd w:val="clear" w:color="auto" w:fill="FFFF99"/>
          </w:tcPr>
          <w:p w14:paraId="3B429559" w14:textId="7A6B8484" w:rsidR="0045320E" w:rsidRDefault="0045320E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+08</w:t>
            </w:r>
          </w:p>
        </w:tc>
      </w:tr>
      <w:tr w:rsidR="0045320E" w:rsidRPr="006D185A" w14:paraId="6FAF691F" w14:textId="77777777" w:rsidTr="00DA2B67">
        <w:trPr>
          <w:trHeight w:val="1541"/>
        </w:trPr>
        <w:tc>
          <w:tcPr>
            <w:tcW w:w="1331" w:type="pct"/>
            <w:vMerge/>
            <w:shd w:val="clear" w:color="auto" w:fill="FFFF99"/>
          </w:tcPr>
          <w:p w14:paraId="7839961F" w14:textId="77777777" w:rsidR="0045320E" w:rsidRDefault="0045320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FFFF99"/>
          </w:tcPr>
          <w:p w14:paraId="54411F44" w14:textId="77777777" w:rsidR="0045320E" w:rsidRPr="00C935F1" w:rsidRDefault="0045320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35D962C8" w14:textId="6825BBC0" w:rsidR="0045320E" w:rsidRDefault="0045320E" w:rsidP="008F4C55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9F79CF5" w14:textId="3DCC234E" w:rsidR="0045320E" w:rsidRPr="0045320E" w:rsidRDefault="002D7544" w:rsidP="0045320E">
            <w:pPr>
              <w:tabs>
                <w:tab w:val="left" w:pos="2268"/>
              </w:tabs>
              <w:jc w:val="center"/>
            </w:pPr>
            <w:r>
              <w:t>I</w:t>
            </w:r>
            <w:r w:rsidR="0045320E" w:rsidRPr="0045320E">
              <w:t>n Kombination mit einer der Lernsituationen LS01 bis LS12 des Lernfeld</w:t>
            </w:r>
            <w:r w:rsidR="0045320E">
              <w:t>es</w:t>
            </w:r>
            <w:r w:rsidR="0045320E" w:rsidRPr="0045320E">
              <w:t xml:space="preserve"> 01</w:t>
            </w:r>
            <w:r w:rsidR="0045320E">
              <w:t xml:space="preserve"> durchführen</w:t>
            </w:r>
            <w:r w:rsidR="0045320E" w:rsidRPr="0045320E">
              <w:t>.</w:t>
            </w:r>
          </w:p>
        </w:tc>
      </w:tr>
      <w:tr w:rsidR="008A74B1" w:rsidRPr="006D185A" w14:paraId="24114734" w14:textId="77777777" w:rsidTr="00DA2B67">
        <w:trPr>
          <w:trHeight w:val="1575"/>
        </w:trPr>
        <w:tc>
          <w:tcPr>
            <w:tcW w:w="1331" w:type="pct"/>
            <w:vMerge w:val="restart"/>
            <w:shd w:val="clear" w:color="auto" w:fill="auto"/>
          </w:tcPr>
          <w:p w14:paraId="1A7D49E8" w14:textId="39CFE692" w:rsidR="008A74B1" w:rsidRPr="00623881" w:rsidRDefault="0062388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881">
              <w:rPr>
                <w:sz w:val="20"/>
                <w:szCs w:val="20"/>
              </w:rPr>
              <w:t>Die Schülerinnen und Schüler informieren sich über die Grundzüge des Privatrechts (</w:t>
            </w:r>
            <w:r w:rsidRPr="00623881">
              <w:rPr>
                <w:i/>
                <w:sz w:val="20"/>
                <w:szCs w:val="20"/>
              </w:rPr>
              <w:t>Rechtsnormen, Rechts- und Geschäftsfähigkeit, Rechtsobjekte, Besitz und Eigentum, Willenserklärungen, Rechtsgeschäfte</w:t>
            </w:r>
            <w:r w:rsidRPr="00623881">
              <w:rPr>
                <w:sz w:val="20"/>
                <w:szCs w:val="20"/>
              </w:rPr>
              <w:t>) und nehmen als Mitarbeiterinnen und Mitarbeiter eines Unternehmens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und als Privatpersonen am Wirtschaftsleben teil. Sie schließen Verträge (</w:t>
            </w:r>
            <w:r w:rsidRPr="00623881">
              <w:rPr>
                <w:i/>
                <w:sz w:val="20"/>
                <w:szCs w:val="20"/>
              </w:rPr>
              <w:t>Kaufvertrag</w:t>
            </w:r>
            <w:r w:rsidRPr="00623881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prüfen diese auf richtige Durchführung und wahren ihre Rechte als Vertragspartner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(</w:t>
            </w:r>
            <w:r w:rsidRPr="00623881">
              <w:rPr>
                <w:i/>
                <w:sz w:val="20"/>
                <w:szCs w:val="20"/>
              </w:rPr>
              <w:t>Schlechtleistung, Nicht-Rechtzeitig-Zahlung, Verbraucherschutz</w:t>
            </w:r>
            <w:r w:rsidRPr="00623881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8A74B1" w:rsidRPr="00C935F1" w:rsidRDefault="008A74B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FCDBD7E" w:rsidR="008A74B1" w:rsidRPr="00C935F1" w:rsidRDefault="008A74B1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Grundzüge des Privatrechts darstellen </w:t>
            </w:r>
          </w:p>
        </w:tc>
        <w:tc>
          <w:tcPr>
            <w:tcW w:w="694" w:type="pct"/>
            <w:shd w:val="clear" w:color="auto" w:fill="auto"/>
          </w:tcPr>
          <w:p w14:paraId="24114730" w14:textId="54BC5B3A" w:rsidR="008A74B1" w:rsidRPr="00C935F1" w:rsidRDefault="008A74B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54945620" w14:textId="77777777" w:rsidR="008A74B1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6EFD1B8C" w14:textId="77777777" w:rsidR="003B0E30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7C49B17" w14:textId="49009D6D" w:rsidR="003B0E30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37A44AA5" w14:textId="076C2B9D" w:rsidR="00D41BC3" w:rsidRDefault="00D41BC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114731" w14:textId="642197AC" w:rsidR="00D41BC3" w:rsidRPr="00C935F1" w:rsidRDefault="00D41BC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24114732" w14:textId="6263BF4B" w:rsidR="008A74B1" w:rsidRPr="00C935F1" w:rsidRDefault="00C5677E" w:rsidP="00887F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</w:t>
            </w:r>
            <w:r w:rsidR="00887F4F">
              <w:rPr>
                <w:sz w:val="20"/>
                <w:szCs w:val="20"/>
              </w:rPr>
              <w:t xml:space="preserve"> u.</w:t>
            </w:r>
            <w:r w:rsidR="008A74B1">
              <w:rPr>
                <w:sz w:val="20"/>
                <w:szCs w:val="20"/>
              </w:rPr>
              <w:t xml:space="preserve"> LF03</w:t>
            </w:r>
          </w:p>
        </w:tc>
        <w:tc>
          <w:tcPr>
            <w:tcW w:w="277" w:type="pct"/>
            <w:shd w:val="clear" w:color="auto" w:fill="auto"/>
          </w:tcPr>
          <w:p w14:paraId="24114733" w14:textId="1A3B1B32" w:rsidR="008A74B1" w:rsidRPr="00C935F1" w:rsidRDefault="004C12B1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A74B1" w:rsidRPr="006D185A" w14:paraId="28AC3106" w14:textId="77777777" w:rsidTr="00DA2B67">
        <w:trPr>
          <w:trHeight w:val="267"/>
        </w:trPr>
        <w:tc>
          <w:tcPr>
            <w:tcW w:w="1331" w:type="pct"/>
            <w:vMerge/>
            <w:shd w:val="clear" w:color="auto" w:fill="auto"/>
          </w:tcPr>
          <w:p w14:paraId="779FBE9D" w14:textId="77777777" w:rsidR="008A74B1" w:rsidRPr="00F453E0" w:rsidRDefault="008A74B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46608D03" w14:textId="77777777" w:rsidR="008A74B1" w:rsidRPr="00C935F1" w:rsidRDefault="008A74B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10E8F39" w14:textId="6D70787A" w:rsidR="00CF2B44" w:rsidRDefault="008A74B1" w:rsidP="002D754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</w:t>
            </w:r>
            <w:r w:rsidR="00A81F73">
              <w:rPr>
                <w:b/>
                <w:sz w:val="20"/>
                <w:szCs w:val="20"/>
              </w:rPr>
              <w:t xml:space="preserve">Verträge </w:t>
            </w:r>
            <w:r>
              <w:rPr>
                <w:b/>
                <w:sz w:val="20"/>
                <w:szCs w:val="20"/>
              </w:rPr>
              <w:t>abschließen und Rechte wahren</w:t>
            </w:r>
          </w:p>
        </w:tc>
        <w:tc>
          <w:tcPr>
            <w:tcW w:w="694" w:type="pct"/>
            <w:shd w:val="clear" w:color="auto" w:fill="auto"/>
          </w:tcPr>
          <w:p w14:paraId="7C50CF63" w14:textId="540037D7" w:rsidR="008A74B1" w:rsidRDefault="008A74B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4531FD6F" w14:textId="6D8E0488" w:rsidR="008A74B1" w:rsidRDefault="008A74B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Kaufvertrag</w:t>
            </w:r>
          </w:p>
          <w:p w14:paraId="037D6756" w14:textId="7E5CB252" w:rsidR="008A74B1" w:rsidRDefault="008A74B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Mängelrüge</w:t>
            </w:r>
          </w:p>
          <w:p w14:paraId="26993D19" w14:textId="1580A66D" w:rsidR="008A74B1" w:rsidRPr="00C935F1" w:rsidRDefault="008A74B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Mahnung</w:t>
            </w:r>
          </w:p>
        </w:tc>
        <w:tc>
          <w:tcPr>
            <w:tcW w:w="880" w:type="pct"/>
            <w:shd w:val="clear" w:color="auto" w:fill="auto"/>
          </w:tcPr>
          <w:p w14:paraId="66AB1C4A" w14:textId="77777777" w:rsidR="003B0E30" w:rsidRDefault="003B0E30" w:rsidP="003B0E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22B2AD88" w14:textId="77777777" w:rsidR="008A74B1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B57ABB4" w14:textId="5B5B8326" w:rsidR="003B0E30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0C32DA8" w14:textId="4FD2DB44" w:rsidR="003B0E30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7329E56" w14:textId="33E2C970" w:rsidR="003B0E30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FC9B52F" w14:textId="6B57FFC3" w:rsidR="003B0E30" w:rsidRPr="00C935F1" w:rsidRDefault="003B0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838ADE4" w14:textId="77777777" w:rsidR="008A74B1" w:rsidRPr="00C935F1" w:rsidRDefault="008A74B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173F5DF" w14:textId="5303EF22" w:rsidR="008A74B1" w:rsidRPr="00C935F1" w:rsidRDefault="004C12B1" w:rsidP="004C12B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3223E4" w:rsidRPr="006D185A" w14:paraId="61B35FE1" w14:textId="77777777" w:rsidTr="00DA2B67">
        <w:trPr>
          <w:trHeight w:val="744"/>
        </w:trPr>
        <w:tc>
          <w:tcPr>
            <w:tcW w:w="1331" w:type="pct"/>
            <w:vMerge w:val="restart"/>
            <w:shd w:val="clear" w:color="auto" w:fill="auto"/>
          </w:tcPr>
          <w:p w14:paraId="554A5807" w14:textId="6DBE72A2" w:rsidR="00623881" w:rsidRPr="00F46546" w:rsidRDefault="00623881" w:rsidP="00AD43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881">
              <w:rPr>
                <w:sz w:val="20"/>
                <w:szCs w:val="20"/>
              </w:rPr>
              <w:lastRenderedPageBreak/>
              <w:t>Die Schülerinnen und Schüler klären ihre Stellung im Betrieb und erfassen ihre Rolle als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Auszubildende in einem Kreditinstitut. Dazu setzen sie sich unter Verwendung einschlägiger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Gesetzestexte mit den Aufgaben sowie Rechten und Pflichten der Beteiligten im dualen System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der Berufsausbildung auseinander (</w:t>
            </w:r>
            <w:r w:rsidRPr="00623881">
              <w:rPr>
                <w:i/>
                <w:sz w:val="20"/>
                <w:szCs w:val="20"/>
              </w:rPr>
              <w:t>Berufsbildungsgesetz, Ausbildungsordnung, Ausbildungsvertrag, Jugendarbeitsschutzgesetz</w:t>
            </w:r>
            <w:r w:rsidRPr="00623881">
              <w:rPr>
                <w:sz w:val="20"/>
                <w:szCs w:val="20"/>
              </w:rPr>
              <w:t>). Sie artikulieren eigene Interessen sachlich und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sprachlich angemessen. Die Schülerinnen und Schüler vertreten gegenüber anderen überzeugend</w:t>
            </w:r>
            <w:r w:rsidR="00AD43B1"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ihre Meinung, entwickeln ihre Kommunikationsfähigkeit und wenden verbale und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nonverbale Kommunikationstechniken an. Sie zeigen im Umgang miteinander, auch sensibilisiert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im Sinne des inklusiven Gedankens, Kooperationsbereitschaft und Wertschätzung.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03F52D07" w14:textId="4A685FEE" w:rsidR="003223E4" w:rsidRPr="00CD10FF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6FCD0B87" w14:textId="7D8F7EB4" w:rsidR="003223E4" w:rsidRPr="00C935F1" w:rsidRDefault="003223E4" w:rsidP="002E2EA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Ausbildungssituation darstellen 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57DC62D4" w14:textId="77777777" w:rsidR="003223E4" w:rsidRDefault="00CF2B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8403DC5" w14:textId="69CF36A4" w:rsidR="00CF2B44" w:rsidRPr="00C935F1" w:rsidRDefault="00CF2B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05A71831" w14:textId="77777777" w:rsidR="0080529D" w:rsidRDefault="0080529D" w:rsidP="008052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1C8C856" w14:textId="77777777" w:rsidR="003223E4" w:rsidRDefault="0080529D" w:rsidP="008052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FBA4D59" w14:textId="77777777" w:rsidR="0080529D" w:rsidRDefault="0080529D" w:rsidP="008052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38E6EA1" w14:textId="076DB208" w:rsidR="0080529D" w:rsidRPr="00C935F1" w:rsidRDefault="00CF2B44" w:rsidP="0080529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36A97089" w14:textId="5D09E079" w:rsidR="00CF2B44" w:rsidRDefault="00CF2B4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3D85054C" w14:textId="544D5B03" w:rsidR="003223E4" w:rsidRDefault="003223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  <w:p w14:paraId="4A36FBF1" w14:textId="02760A33" w:rsidR="003223E4" w:rsidRPr="00C935F1" w:rsidRDefault="003223E4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</w:t>
            </w:r>
            <w:r w:rsidR="00C5677E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3A6C2425" w14:textId="6952D801" w:rsidR="003223E4" w:rsidRDefault="003223E4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223E4" w:rsidRPr="006D185A" w14:paraId="536A4B96" w14:textId="77777777" w:rsidTr="00DA2B67">
        <w:trPr>
          <w:trHeight w:val="888"/>
        </w:trPr>
        <w:tc>
          <w:tcPr>
            <w:tcW w:w="1331" w:type="pct"/>
            <w:vMerge/>
            <w:shd w:val="clear" w:color="auto" w:fill="auto"/>
          </w:tcPr>
          <w:p w14:paraId="1B58B8CC" w14:textId="77777777" w:rsidR="003223E4" w:rsidRPr="00F453E0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5B61D70" w14:textId="77777777" w:rsidR="003223E4" w:rsidRPr="00CD10FF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  <w:shd w:val="clear" w:color="auto" w:fill="auto"/>
          </w:tcPr>
          <w:p w14:paraId="2694156D" w14:textId="1FB23596" w:rsidR="003223E4" w:rsidRDefault="003223E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Rechte und Pflichten der Beteiligten erklären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5A485526" w14:textId="77777777" w:rsidR="003223E4" w:rsidRDefault="003223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1A06B1DE" w14:textId="23F76EBE" w:rsidR="003223E4" w:rsidRPr="00C935F1" w:rsidRDefault="003223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Ausbildungsvertrag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66BFB557" w14:textId="77777777" w:rsidR="009B50EB" w:rsidRDefault="009B50EB" w:rsidP="009B50E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BF47C0F" w14:textId="77777777" w:rsidR="009B50EB" w:rsidRDefault="009B50EB" w:rsidP="009B50E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DE25F21" w14:textId="5ABC4B88" w:rsidR="003223E4" w:rsidRPr="00C935F1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sachlich argumentieren 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</w:tcPr>
          <w:p w14:paraId="4068216C" w14:textId="0DF9A6EA" w:rsidR="003223E4" w:rsidRPr="00C935F1" w:rsidRDefault="003223E4" w:rsidP="002F17E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 I</w:t>
            </w:r>
          </w:p>
        </w:tc>
        <w:tc>
          <w:tcPr>
            <w:tcW w:w="277" w:type="pct"/>
            <w:tcBorders>
              <w:bottom w:val="single" w:sz="4" w:space="0" w:color="auto"/>
            </w:tcBorders>
            <w:shd w:val="clear" w:color="auto" w:fill="auto"/>
          </w:tcPr>
          <w:p w14:paraId="75D6FB0E" w14:textId="75C82A1D" w:rsidR="003223E4" w:rsidRDefault="003223E4" w:rsidP="002F17E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3223E4" w:rsidRPr="006D185A" w14:paraId="02C8B5C6" w14:textId="77777777" w:rsidTr="00DA2B67">
        <w:trPr>
          <w:trHeight w:val="2302"/>
        </w:trPr>
        <w:tc>
          <w:tcPr>
            <w:tcW w:w="1331" w:type="pct"/>
            <w:vMerge/>
            <w:shd w:val="clear" w:color="auto" w:fill="auto"/>
          </w:tcPr>
          <w:p w14:paraId="7DB444AA" w14:textId="77777777" w:rsidR="003223E4" w:rsidRPr="00F453E0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7BB348F" w14:textId="77777777" w:rsidR="003223E4" w:rsidRPr="00CD10FF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3DBFCBC" w14:textId="0B8DECAE" w:rsidR="003223E4" w:rsidRDefault="003223E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Angemessen kommunizieren</w:t>
            </w:r>
          </w:p>
        </w:tc>
        <w:tc>
          <w:tcPr>
            <w:tcW w:w="694" w:type="pct"/>
            <w:shd w:val="clear" w:color="auto" w:fill="auto"/>
          </w:tcPr>
          <w:p w14:paraId="0E4A5412" w14:textId="3CAED40D" w:rsidR="003223E4" w:rsidRDefault="003223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197B8746" w14:textId="16EEE611" w:rsidR="003223E4" w:rsidRPr="00C935F1" w:rsidRDefault="003223E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Gespräche</w:t>
            </w:r>
          </w:p>
        </w:tc>
        <w:tc>
          <w:tcPr>
            <w:tcW w:w="880" w:type="pct"/>
            <w:shd w:val="clear" w:color="auto" w:fill="auto"/>
          </w:tcPr>
          <w:p w14:paraId="0594761C" w14:textId="6B2663DA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3AD194E9" w14:textId="4A0DEE33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8272EC2" w14:textId="296E683E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Standpunkte tolerieren</w:t>
            </w:r>
          </w:p>
          <w:p w14:paraId="0BA1E3F9" w14:textId="06F397E2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Verantwortung tragen</w:t>
            </w:r>
          </w:p>
          <w:p w14:paraId="4A166BD4" w14:textId="76090E91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soziale Beziehungen und Handlungen verstehen</w:t>
            </w:r>
          </w:p>
          <w:p w14:paraId="5480B740" w14:textId="49D4894B" w:rsidR="00C5677E" w:rsidRDefault="00C5677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artikulieren</w:t>
            </w:r>
          </w:p>
          <w:p w14:paraId="3892E86A" w14:textId="134528B3" w:rsidR="009B50EB" w:rsidRDefault="009B50EB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Vertrauen herstellen</w:t>
            </w:r>
          </w:p>
          <w:p w14:paraId="33014D24" w14:textId="40B17242" w:rsidR="009B50EB" w:rsidRPr="00C935F1" w:rsidRDefault="009B50EB" w:rsidP="009B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 kritisieren</w:t>
            </w:r>
          </w:p>
        </w:tc>
        <w:tc>
          <w:tcPr>
            <w:tcW w:w="417" w:type="pct"/>
            <w:shd w:val="clear" w:color="auto" w:fill="auto"/>
          </w:tcPr>
          <w:p w14:paraId="66381B10" w14:textId="726CAA4E" w:rsidR="003223E4" w:rsidRDefault="00887F4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  <w:p w14:paraId="1F1ED160" w14:textId="3A1F3031" w:rsidR="003223E4" w:rsidRDefault="003223E4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LF02, LF03</w:t>
            </w:r>
            <w:r w:rsidR="00887F4F">
              <w:rPr>
                <w:sz w:val="20"/>
                <w:szCs w:val="20"/>
              </w:rPr>
              <w:t xml:space="preserve"> u.</w:t>
            </w:r>
            <w:r>
              <w:rPr>
                <w:sz w:val="20"/>
                <w:szCs w:val="20"/>
              </w:rPr>
              <w:t xml:space="preserve"> LF04</w:t>
            </w:r>
          </w:p>
          <w:p w14:paraId="53F92735" w14:textId="0CFD3484" w:rsidR="003223E4" w:rsidRPr="00C935F1" w:rsidRDefault="003223E4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Deutsch</w:t>
            </w:r>
          </w:p>
        </w:tc>
        <w:tc>
          <w:tcPr>
            <w:tcW w:w="277" w:type="pct"/>
            <w:shd w:val="clear" w:color="auto" w:fill="auto"/>
          </w:tcPr>
          <w:p w14:paraId="186200E3" w14:textId="511B2244" w:rsidR="003223E4" w:rsidRDefault="003223E4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3409B" w:rsidRPr="006D185A" w14:paraId="74FFED4F" w14:textId="77777777" w:rsidTr="00DA2B67">
        <w:trPr>
          <w:trHeight w:val="636"/>
        </w:trPr>
        <w:tc>
          <w:tcPr>
            <w:tcW w:w="1331" w:type="pct"/>
            <w:vMerge w:val="restart"/>
            <w:shd w:val="clear" w:color="auto" w:fill="auto"/>
          </w:tcPr>
          <w:p w14:paraId="192AAD22" w14:textId="1FC5941E" w:rsidR="00623881" w:rsidRDefault="0062388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881">
              <w:rPr>
                <w:sz w:val="20"/>
                <w:szCs w:val="20"/>
              </w:rPr>
              <w:t>Die Schülerinnen und Schüler planen ihre zukünftige berufliche Tätigkeit, informieren sich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über wichtige arbeitsvertragliche Regelungen (</w:t>
            </w:r>
            <w:r w:rsidRPr="00623881">
              <w:rPr>
                <w:i/>
                <w:sz w:val="20"/>
                <w:szCs w:val="20"/>
              </w:rPr>
              <w:t>Inhalt, Abschluss, und Kündigung des Arbeitsvertrages</w:t>
            </w:r>
            <w:r w:rsidRPr="0062388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und über Schutzvorschriften für Arbeitnehmer und Auszubildende (</w:t>
            </w:r>
            <w:r w:rsidRPr="00623881">
              <w:rPr>
                <w:i/>
                <w:sz w:val="20"/>
                <w:szCs w:val="20"/>
              </w:rPr>
              <w:t>Kündigungsschutz, Arbeitszeit, Urlaub, Mutterschutz, Elternzeit, Elterngeld und Schwerbehinderung</w:t>
            </w:r>
            <w:r w:rsidRPr="00623881">
              <w:rPr>
                <w:sz w:val="20"/>
                <w:szCs w:val="20"/>
              </w:rPr>
              <w:t>). Sie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bewerten und reflektieren Beurteilungen und Arbeitszeugnisse.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1540A517" w14:textId="666043FD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C0A233B" w14:textId="6404D6A1" w:rsidR="0043409B" w:rsidRPr="00C935F1" w:rsidRDefault="00A02C40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Zukünftige berufliche Tätigkeit darstellen</w:t>
            </w:r>
          </w:p>
        </w:tc>
        <w:tc>
          <w:tcPr>
            <w:tcW w:w="694" w:type="pct"/>
            <w:shd w:val="clear" w:color="auto" w:fill="auto"/>
          </w:tcPr>
          <w:p w14:paraId="5BF675A5" w14:textId="6D76C473" w:rsidR="00522492" w:rsidRPr="00C935F1" w:rsidRDefault="00A02C40" w:rsidP="005D62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Plakat</w:t>
            </w:r>
          </w:p>
        </w:tc>
        <w:tc>
          <w:tcPr>
            <w:tcW w:w="880" w:type="pct"/>
            <w:shd w:val="clear" w:color="auto" w:fill="auto"/>
          </w:tcPr>
          <w:p w14:paraId="4B29A7F5" w14:textId="77777777" w:rsidR="001E6D88" w:rsidRDefault="001E6D88" w:rsidP="001E6D8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90C300F" w14:textId="39DB877A" w:rsidR="0043409B" w:rsidRPr="00C935F1" w:rsidRDefault="001E6D8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039C5F42" w14:textId="77777777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0FF161C" w14:textId="62EEDBE6" w:rsidR="00A02C40" w:rsidRDefault="00A02C40" w:rsidP="00AD43B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3223E4" w:rsidRPr="006D185A" w14:paraId="2E77B0A7" w14:textId="77777777" w:rsidTr="00DA2B67">
        <w:trPr>
          <w:trHeight w:val="624"/>
        </w:trPr>
        <w:tc>
          <w:tcPr>
            <w:tcW w:w="1331" w:type="pct"/>
            <w:vMerge/>
            <w:shd w:val="clear" w:color="auto" w:fill="auto"/>
          </w:tcPr>
          <w:p w14:paraId="7B79C2C0" w14:textId="77777777" w:rsidR="003223E4" w:rsidRPr="00A02C40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93133AB" w14:textId="77777777" w:rsidR="003223E4" w:rsidRPr="00C935F1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97DA99" w14:textId="67BD5E68" w:rsidR="003223E4" w:rsidRDefault="003223E4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Arbeitsvertragliche Regelungen darstellen</w:t>
            </w:r>
          </w:p>
        </w:tc>
        <w:tc>
          <w:tcPr>
            <w:tcW w:w="694" w:type="pct"/>
            <w:shd w:val="clear" w:color="auto" w:fill="auto"/>
          </w:tcPr>
          <w:p w14:paraId="2A1E7AAA" w14:textId="77777777" w:rsidR="003223E4" w:rsidRDefault="003223E4" w:rsidP="003223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3FA9F141" w14:textId="6E54A1B3" w:rsidR="003223E4" w:rsidRDefault="003223E4" w:rsidP="003223E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Arbeitsvertrag</w:t>
            </w:r>
          </w:p>
        </w:tc>
        <w:tc>
          <w:tcPr>
            <w:tcW w:w="880" w:type="pct"/>
            <w:shd w:val="clear" w:color="auto" w:fill="auto"/>
          </w:tcPr>
          <w:p w14:paraId="287A2BE0" w14:textId="77777777" w:rsidR="001E6D88" w:rsidRDefault="001E6D88" w:rsidP="001E6D8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75992400" w14:textId="4F57B7DC" w:rsidR="003223E4" w:rsidRPr="00C935F1" w:rsidRDefault="001E6D8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0F070897" w14:textId="77777777" w:rsidR="003223E4" w:rsidRPr="00C935F1" w:rsidRDefault="003223E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BE1549C" w14:textId="4D90BF07" w:rsidR="003223E4" w:rsidRDefault="003223E4" w:rsidP="003223E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3409B" w:rsidRPr="006D185A" w14:paraId="0670E404" w14:textId="77777777" w:rsidTr="00DA2B67">
        <w:trPr>
          <w:trHeight w:val="528"/>
        </w:trPr>
        <w:tc>
          <w:tcPr>
            <w:tcW w:w="1331" w:type="pct"/>
            <w:vMerge/>
            <w:shd w:val="clear" w:color="auto" w:fill="auto"/>
          </w:tcPr>
          <w:p w14:paraId="39C8EB6C" w14:textId="1C433288" w:rsidR="0043409B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BFC5411" w14:textId="77777777" w:rsidR="0043409B" w:rsidRPr="008124FE" w:rsidRDefault="0043409B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4A31F51B" w14:textId="5E8ECB90" w:rsidR="0043409B" w:rsidRDefault="0043409B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 Schutzvorschriften darstellen</w:t>
            </w:r>
          </w:p>
        </w:tc>
        <w:tc>
          <w:tcPr>
            <w:tcW w:w="694" w:type="pct"/>
            <w:shd w:val="clear" w:color="auto" w:fill="auto"/>
          </w:tcPr>
          <w:p w14:paraId="0DFFA698" w14:textId="77777777" w:rsidR="00522492" w:rsidRDefault="00522492" w:rsidP="005224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7994DA0E" w14:textId="23A6D8F5" w:rsidR="00281948" w:rsidRPr="00C935F1" w:rsidRDefault="00281948" w:rsidP="005224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04FFF662" w14:textId="77777777" w:rsidR="001E6D88" w:rsidRDefault="001E6D88" w:rsidP="001E6D8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E7E55B4" w14:textId="4A406155" w:rsidR="0043409B" w:rsidRPr="00C935F1" w:rsidRDefault="001E6D8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2FAAB5BB" w14:textId="1ED852F9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30A8A85" w14:textId="4BF8ECE4" w:rsidR="0043409B" w:rsidRDefault="00522492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43409B" w:rsidRPr="006D185A" w14:paraId="0BCC7F0D" w14:textId="77777777" w:rsidTr="00DA2B67">
        <w:trPr>
          <w:trHeight w:val="666"/>
        </w:trPr>
        <w:tc>
          <w:tcPr>
            <w:tcW w:w="1331" w:type="pct"/>
            <w:vMerge/>
            <w:shd w:val="clear" w:color="auto" w:fill="auto"/>
          </w:tcPr>
          <w:p w14:paraId="47CFDC91" w14:textId="77777777" w:rsidR="0043409B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C4D75CE" w14:textId="77777777" w:rsidR="0043409B" w:rsidRPr="008124FE" w:rsidRDefault="0043409B" w:rsidP="005A6802">
            <w:pPr>
              <w:pStyle w:val="TZielnanalysetex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pct"/>
            <w:shd w:val="clear" w:color="auto" w:fill="auto"/>
          </w:tcPr>
          <w:p w14:paraId="12AD0C1F" w14:textId="2F180DA5" w:rsidR="0043409B" w:rsidRDefault="0043409B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3B0E30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Beurteilungen und Arbeitszeugnisse analysieren</w:t>
            </w:r>
          </w:p>
        </w:tc>
        <w:tc>
          <w:tcPr>
            <w:tcW w:w="694" w:type="pct"/>
            <w:shd w:val="clear" w:color="auto" w:fill="auto"/>
          </w:tcPr>
          <w:p w14:paraId="13B6C227" w14:textId="4FB97877" w:rsidR="0043409B" w:rsidRPr="00887F4F" w:rsidRDefault="00E83F4C" w:rsidP="005D6283">
            <w:pPr>
              <w:pStyle w:val="TZielnanalysetext"/>
              <w:rPr>
                <w:sz w:val="20"/>
                <w:szCs w:val="20"/>
              </w:rPr>
            </w:pPr>
            <w:r w:rsidRPr="00887F4F"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99661A5" w14:textId="40EB6858" w:rsidR="0043409B" w:rsidRDefault="00C5677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220ED6AE" w14:textId="75F52231" w:rsidR="00C5677E" w:rsidRDefault="00C5677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6543112E" w14:textId="4D80DE76" w:rsidR="00C5677E" w:rsidRPr="00C935F1" w:rsidRDefault="00C5677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8F708B2" w14:textId="77777777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8157F97" w14:textId="52DDEA45" w:rsidR="0043409B" w:rsidRDefault="00281948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3409B" w:rsidRPr="006D185A" w14:paraId="49ADA057" w14:textId="77777777" w:rsidTr="00DA2B67">
        <w:trPr>
          <w:trHeight w:val="594"/>
        </w:trPr>
        <w:tc>
          <w:tcPr>
            <w:tcW w:w="1331" w:type="pct"/>
            <w:vMerge w:val="restart"/>
            <w:shd w:val="clear" w:color="auto" w:fill="auto"/>
          </w:tcPr>
          <w:p w14:paraId="6A2399E7" w14:textId="195C02CA" w:rsidR="00623881" w:rsidRDefault="0062388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881">
              <w:rPr>
                <w:sz w:val="20"/>
                <w:szCs w:val="20"/>
              </w:rPr>
              <w:t>Sie überprüfen mittels digitaler Medien die eigenen Entgeltabrechnungen (</w:t>
            </w:r>
            <w:r w:rsidRPr="00623881">
              <w:rPr>
                <w:i/>
                <w:sz w:val="20"/>
                <w:szCs w:val="20"/>
              </w:rPr>
              <w:t>Sozialversicherung, Grundzüge des Einkommensteuerrechts</w:t>
            </w:r>
            <w:r w:rsidRPr="00623881">
              <w:rPr>
                <w:sz w:val="20"/>
                <w:szCs w:val="20"/>
              </w:rPr>
              <w:t>) und informieren sich über das gel</w:t>
            </w:r>
            <w:r w:rsidRPr="00623881">
              <w:rPr>
                <w:sz w:val="20"/>
                <w:szCs w:val="20"/>
              </w:rPr>
              <w:lastRenderedPageBreak/>
              <w:t>tende Tarifrecht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(</w:t>
            </w:r>
            <w:r w:rsidRPr="00623881">
              <w:rPr>
                <w:i/>
                <w:sz w:val="20"/>
                <w:szCs w:val="20"/>
              </w:rPr>
              <w:t>Tarifvertrag, Betriebsvereinbarung</w:t>
            </w:r>
            <w:r w:rsidRPr="00623881">
              <w:rPr>
                <w:sz w:val="20"/>
                <w:szCs w:val="20"/>
              </w:rPr>
              <w:t>). Sie beurteilen die Möglichkeiten der Mitwirkung</w:t>
            </w:r>
            <w:r>
              <w:rPr>
                <w:sz w:val="20"/>
                <w:szCs w:val="20"/>
              </w:rPr>
              <w:t xml:space="preserve"> </w:t>
            </w:r>
            <w:r w:rsidRPr="00623881">
              <w:rPr>
                <w:sz w:val="20"/>
                <w:szCs w:val="20"/>
              </w:rPr>
              <w:t>und Mitbestimmung im Betrieb (</w:t>
            </w:r>
            <w:r w:rsidRPr="00623881">
              <w:rPr>
                <w:i/>
                <w:sz w:val="20"/>
                <w:szCs w:val="20"/>
              </w:rPr>
              <w:t>Betriebsrat, Jugend- und Auszubildendenvertretung</w:t>
            </w:r>
            <w:r w:rsidRPr="00623881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2D4287A" w14:textId="77777777" w:rsidR="0043409B" w:rsidRPr="00C935F1" w:rsidRDefault="0043409B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21D04C" w14:textId="78419495" w:rsidR="0043409B" w:rsidRPr="00C935F1" w:rsidRDefault="0043409B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3B0E30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 xml:space="preserve"> Eigene Entgeltabrechnung überprüfen </w:t>
            </w:r>
          </w:p>
        </w:tc>
        <w:tc>
          <w:tcPr>
            <w:tcW w:w="694" w:type="pct"/>
            <w:shd w:val="clear" w:color="auto" w:fill="auto"/>
          </w:tcPr>
          <w:p w14:paraId="3C40D6BD" w14:textId="70DB13FB" w:rsidR="0043409B" w:rsidRPr="00887F4F" w:rsidRDefault="00B85E2A" w:rsidP="005D6283">
            <w:pPr>
              <w:pStyle w:val="TZielnanalysetext"/>
              <w:rPr>
                <w:sz w:val="20"/>
                <w:szCs w:val="20"/>
              </w:rPr>
            </w:pPr>
            <w:r w:rsidRPr="00887F4F"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AE145BA" w14:textId="77777777" w:rsidR="00C5677E" w:rsidRDefault="00C5677E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E7AF66A" w14:textId="639F3B57" w:rsidR="0043409B" w:rsidRPr="00C935F1" w:rsidRDefault="00C5677E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6E4C0D9B" w14:textId="1BCD5260" w:rsidR="0043409B" w:rsidRPr="00C935F1" w:rsidRDefault="00887F4F" w:rsidP="00887F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</w:t>
            </w:r>
            <w:r w:rsidR="005429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Medien</w:t>
            </w:r>
          </w:p>
        </w:tc>
        <w:tc>
          <w:tcPr>
            <w:tcW w:w="277" w:type="pct"/>
            <w:shd w:val="clear" w:color="auto" w:fill="auto"/>
          </w:tcPr>
          <w:p w14:paraId="76B2EFFC" w14:textId="16AC503F" w:rsidR="0043409B" w:rsidRDefault="0068220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85E2A" w:rsidRPr="006D185A" w14:paraId="14F69FE1" w14:textId="77777777" w:rsidTr="00DA2B67">
        <w:trPr>
          <w:trHeight w:val="552"/>
        </w:trPr>
        <w:tc>
          <w:tcPr>
            <w:tcW w:w="1331" w:type="pct"/>
            <w:vMerge/>
            <w:shd w:val="clear" w:color="auto" w:fill="auto"/>
          </w:tcPr>
          <w:p w14:paraId="52970870" w14:textId="77777777" w:rsidR="00B85E2A" w:rsidRPr="00594A8A" w:rsidRDefault="00B85E2A" w:rsidP="00B85E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72B90AD" w14:textId="77777777" w:rsidR="00B85E2A" w:rsidRPr="00C935F1" w:rsidRDefault="00B85E2A" w:rsidP="00B85E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59E41D" w14:textId="625364C8" w:rsidR="00B85E2A" w:rsidRDefault="00B85E2A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3B0E30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 xml:space="preserve"> Geltendes Tarifrecht darstellen</w:t>
            </w:r>
          </w:p>
        </w:tc>
        <w:tc>
          <w:tcPr>
            <w:tcW w:w="694" w:type="pct"/>
            <w:shd w:val="clear" w:color="auto" w:fill="auto"/>
          </w:tcPr>
          <w:p w14:paraId="6C90E6E7" w14:textId="7270A794" w:rsidR="00B85E2A" w:rsidRPr="00C935F1" w:rsidRDefault="0068220D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46467A49" w14:textId="77777777" w:rsidR="00C5677E" w:rsidRDefault="00C5677E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8F450D1" w14:textId="77777777" w:rsidR="00B85E2A" w:rsidRDefault="00C5677E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DF718DE" w14:textId="7814B595" w:rsidR="00C5677E" w:rsidRPr="00C935F1" w:rsidRDefault="00C5677E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5B81B452" w14:textId="0A5BF1CF" w:rsidR="00B85E2A" w:rsidRPr="00C935F1" w:rsidRDefault="0068220D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WiSo KB</w:t>
            </w:r>
            <w:r w:rsidR="00C5677E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77" w:type="pct"/>
            <w:shd w:val="clear" w:color="auto" w:fill="auto"/>
          </w:tcPr>
          <w:p w14:paraId="19EF860F" w14:textId="438F51EB" w:rsidR="00B85E2A" w:rsidRDefault="00571C4A" w:rsidP="00B85E2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85E2A" w:rsidRPr="006D185A" w14:paraId="060DDDC0" w14:textId="77777777" w:rsidTr="00DA2B67">
        <w:trPr>
          <w:trHeight w:val="1020"/>
        </w:trPr>
        <w:tc>
          <w:tcPr>
            <w:tcW w:w="1331" w:type="pct"/>
            <w:vMerge/>
            <w:shd w:val="clear" w:color="auto" w:fill="auto"/>
          </w:tcPr>
          <w:p w14:paraId="32C347A7" w14:textId="77777777" w:rsidR="00B85E2A" w:rsidRPr="00594A8A" w:rsidRDefault="00B85E2A" w:rsidP="00B85E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8A0A691" w14:textId="77777777" w:rsidR="00B85E2A" w:rsidRPr="00C935F1" w:rsidRDefault="00B85E2A" w:rsidP="00B85E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622B470" w14:textId="1B1BACCE" w:rsidR="00B85E2A" w:rsidRDefault="00B85E2A" w:rsidP="003B0E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3223E4">
              <w:rPr>
                <w:b/>
                <w:sz w:val="20"/>
                <w:szCs w:val="20"/>
              </w:rPr>
              <w:t>1</w:t>
            </w:r>
            <w:r w:rsidR="003B0E3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Möglichkeiten der Mitbestimmung </w:t>
            </w:r>
            <w:r w:rsidRPr="00AD43B1">
              <w:rPr>
                <w:b/>
                <w:sz w:val="20"/>
                <w:szCs w:val="20"/>
              </w:rPr>
              <w:t>beurteilen</w:t>
            </w:r>
          </w:p>
        </w:tc>
        <w:tc>
          <w:tcPr>
            <w:tcW w:w="694" w:type="pct"/>
            <w:shd w:val="clear" w:color="auto" w:fill="auto"/>
          </w:tcPr>
          <w:p w14:paraId="4AE4DE19" w14:textId="77777777" w:rsidR="00B85E2A" w:rsidRDefault="00B85E2A" w:rsidP="00B85E2A">
            <w:pPr>
              <w:pStyle w:val="TZielnanalysetext"/>
              <w:rPr>
                <w:sz w:val="20"/>
                <w:szCs w:val="20"/>
              </w:rPr>
            </w:pPr>
            <w:r w:rsidRPr="00AD43B1">
              <w:rPr>
                <w:sz w:val="20"/>
                <w:szCs w:val="20"/>
              </w:rPr>
              <w:t>Präsentation</w:t>
            </w:r>
          </w:p>
          <w:p w14:paraId="4C70E329" w14:textId="35DB5DA8" w:rsidR="00AD43B1" w:rsidRPr="00C935F1" w:rsidRDefault="00AD43B1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shd w:val="clear" w:color="auto" w:fill="auto"/>
          </w:tcPr>
          <w:p w14:paraId="2B5CE93A" w14:textId="77777777" w:rsidR="00C5677E" w:rsidRDefault="00C5677E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657CC73" w14:textId="22115E8A" w:rsidR="00C5677E" w:rsidRDefault="00C5677E" w:rsidP="00C5677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0AAB9AB" w14:textId="2849ECE1" w:rsidR="00C5677E" w:rsidRDefault="00C5677E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1C777C2" w14:textId="27E1DD39" w:rsidR="00C5677E" w:rsidRPr="00C935F1" w:rsidRDefault="00C5677E" w:rsidP="00B85E2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7C4A1B79" w14:textId="408837C1" w:rsidR="00B85E2A" w:rsidRPr="00C935F1" w:rsidRDefault="00B85E2A" w:rsidP="00B85E2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20CF488" w14:textId="6C468AF2" w:rsidR="00B85E2A" w:rsidRDefault="00571C4A" w:rsidP="00B85E2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85E2A" w:rsidRPr="006D185A" w14:paraId="629DFC7B" w14:textId="77777777" w:rsidTr="00DA2B67">
        <w:trPr>
          <w:trHeight w:val="267"/>
        </w:trPr>
        <w:tc>
          <w:tcPr>
            <w:tcW w:w="1331" w:type="pct"/>
            <w:shd w:val="clear" w:color="auto" w:fill="auto"/>
          </w:tcPr>
          <w:p w14:paraId="482C3C7B" w14:textId="545330AA" w:rsidR="00B85E2A" w:rsidRDefault="00AD43B1" w:rsidP="00623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623881" w:rsidRPr="00623881">
              <w:rPr>
                <w:sz w:val="20"/>
                <w:szCs w:val="20"/>
              </w:rPr>
              <w:t>Die Schülerinnen und Schüler nehmen eine aktive Rolle im Betrieb ein, respektieren gesellschaftliche,</w:t>
            </w:r>
            <w:r w:rsidR="00623881">
              <w:rPr>
                <w:sz w:val="20"/>
                <w:szCs w:val="20"/>
              </w:rPr>
              <w:t xml:space="preserve"> </w:t>
            </w:r>
            <w:r w:rsidR="00623881" w:rsidRPr="00623881">
              <w:rPr>
                <w:sz w:val="20"/>
                <w:szCs w:val="20"/>
              </w:rPr>
              <w:t>ökologische und ökonomische Anforderungen an ihre Berufsrolle und leiten daraus</w:t>
            </w:r>
            <w:r w:rsidR="00623881">
              <w:rPr>
                <w:sz w:val="20"/>
                <w:szCs w:val="20"/>
              </w:rPr>
              <w:t xml:space="preserve"> </w:t>
            </w:r>
            <w:r w:rsidR="00623881" w:rsidRPr="00623881">
              <w:rPr>
                <w:sz w:val="20"/>
                <w:szCs w:val="20"/>
              </w:rPr>
              <w:t>eigene Wertvorstellungen ab. Sie erkennen die Notwendigkeit des lebenslangen Lernens</w:t>
            </w:r>
            <w:r w:rsidR="00623881">
              <w:rPr>
                <w:sz w:val="20"/>
                <w:szCs w:val="20"/>
              </w:rPr>
              <w:t xml:space="preserve"> </w:t>
            </w:r>
            <w:r w:rsidR="00623881" w:rsidRPr="00623881">
              <w:rPr>
                <w:sz w:val="20"/>
                <w:szCs w:val="20"/>
              </w:rPr>
              <w:t>für sich, um den wachsenden Anforderungen des gesellschaftlichen und technologischen</w:t>
            </w:r>
            <w:r w:rsidR="00623881">
              <w:rPr>
                <w:sz w:val="20"/>
                <w:szCs w:val="20"/>
              </w:rPr>
              <w:t xml:space="preserve"> </w:t>
            </w:r>
            <w:r w:rsidR="00623881" w:rsidRPr="00623881">
              <w:rPr>
                <w:sz w:val="20"/>
                <w:szCs w:val="20"/>
              </w:rPr>
              <w:t>Wandels gerecht zu werden.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C30ECE3" w14:textId="0D576392" w:rsidR="00B85E2A" w:rsidRDefault="00B85E2A" w:rsidP="00B85E2A">
            <w:pPr>
              <w:pStyle w:val="TZielnanalysetex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[Umfassende Komp</w:t>
            </w:r>
            <w:r w:rsidR="00C26787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tenz für das gesamte Lernfeld]</w:t>
            </w:r>
          </w:p>
          <w:p w14:paraId="7E42C574" w14:textId="0BFCAC4A" w:rsidR="00B85E2A" w:rsidRDefault="00B85E2A" w:rsidP="00B85E2A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Integrativ umsetzen</w:t>
            </w:r>
          </w:p>
        </w:tc>
      </w:tr>
    </w:tbl>
    <w:p w14:paraId="02DC3B0B" w14:textId="77777777" w:rsidR="009010B3" w:rsidRPr="00585AF2" w:rsidRDefault="009010B3" w:rsidP="00AD43B1">
      <w:pPr>
        <w:pStyle w:val="TZielnanalysetext"/>
        <w:rPr>
          <w:sz w:val="20"/>
          <w:szCs w:val="20"/>
        </w:rPr>
      </w:pPr>
    </w:p>
    <w:sectPr w:rsidR="009010B3" w:rsidRPr="00585AF2" w:rsidSect="004532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D3C2" w14:textId="77777777" w:rsidR="00B14E67" w:rsidRDefault="00B14E67" w:rsidP="00EF2F4F">
      <w:pPr>
        <w:pStyle w:val="Textkrper2"/>
      </w:pPr>
      <w:r>
        <w:separator/>
      </w:r>
    </w:p>
  </w:endnote>
  <w:endnote w:type="continuationSeparator" w:id="0">
    <w:p w14:paraId="2B3ECAF9" w14:textId="77777777" w:rsidR="00B14E67" w:rsidRDefault="00B14E67" w:rsidP="00EF2F4F">
      <w:pPr>
        <w:pStyle w:val="Textkrper2"/>
      </w:pPr>
      <w:r>
        <w:continuationSeparator/>
      </w:r>
    </w:p>
  </w:endnote>
  <w:endnote w:type="continuationNotice" w:id="1">
    <w:p w14:paraId="70335CDD" w14:textId="77777777" w:rsidR="00B14E67" w:rsidRDefault="00B14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AB711" w14:textId="77777777" w:rsidR="00482125" w:rsidRDefault="004821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558E805" w:rsidR="006E25DF" w:rsidRPr="00B11580" w:rsidRDefault="005C53AE" w:rsidP="00C9673B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5D2F83">
            <w:rPr>
              <w:noProof/>
              <w:sz w:val="14"/>
              <w:szCs w:val="14"/>
              <w:lang w:eastAsia="en-US"/>
            </w:rPr>
            <w:t>WBK-LF01-Zielanalyse.docx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80529D">
            <w:rPr>
              <w:noProof/>
              <w:sz w:val="14"/>
              <w:szCs w:val="14"/>
              <w:lang w:eastAsia="en-US"/>
            </w:rPr>
            <w:tab/>
          </w:r>
          <w:r w:rsidR="0080529D">
            <w:rPr>
              <w:noProof/>
              <w:sz w:val="14"/>
              <w:szCs w:val="14"/>
              <w:lang w:eastAsia="en-US"/>
            </w:rPr>
            <w:tab/>
          </w:r>
          <w:r w:rsidR="0080529D">
            <w:rPr>
              <w:noProof/>
              <w:sz w:val="14"/>
              <w:szCs w:val="14"/>
              <w:lang w:eastAsia="en-US"/>
            </w:rPr>
            <w:tab/>
          </w:r>
          <w:r w:rsidR="0080529D">
            <w:rPr>
              <w:noProof/>
              <w:sz w:val="14"/>
              <w:szCs w:val="14"/>
              <w:lang w:eastAsia="en-US"/>
            </w:rPr>
            <w:tab/>
          </w:r>
          <w:r w:rsidR="0080529D">
            <w:rPr>
              <w:noProof/>
              <w:sz w:val="14"/>
              <w:szCs w:val="14"/>
              <w:lang w:eastAsia="en-US"/>
            </w:rPr>
            <w:tab/>
          </w:r>
          <w:r w:rsidR="0080529D">
            <w:rPr>
              <w:noProof/>
              <w:sz w:val="14"/>
              <w:szCs w:val="14"/>
              <w:lang w:eastAsia="en-US"/>
            </w:rPr>
            <w:tab/>
            <w:t xml:space="preserve">          Koordinierungsteam Lernfelder (KTL)</w:t>
          </w:r>
        </w:p>
      </w:tc>
      <w:tc>
        <w:tcPr>
          <w:tcW w:w="6696" w:type="dxa"/>
          <w:vAlign w:val="bottom"/>
          <w:hideMark/>
        </w:tcPr>
        <w:p w14:paraId="24114789" w14:textId="4BEEEFB3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D2F8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5D2F8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2050FBA3" w:rsidR="0090373D" w:rsidRDefault="0090373D" w:rsidP="0090373D">
    <w:pPr>
      <w:pStyle w:val="Fuzeile"/>
      <w:ind w:left="142"/>
      <w:rPr>
        <w:sz w:val="14"/>
        <w:szCs w:val="14"/>
      </w:rPr>
    </w:pPr>
    <w:r>
      <w:rPr>
        <w:sz w:val="14"/>
        <w:szCs w:val="14"/>
      </w:rPr>
      <w:t xml:space="preserve">  </w:t>
    </w:r>
  </w:p>
  <w:p w14:paraId="2411478B" w14:textId="5112D420" w:rsidR="006E25DF" w:rsidRDefault="005C53AE" w:rsidP="005C53AE">
    <w:pPr>
      <w:pStyle w:val="Fuzeile"/>
      <w:tabs>
        <w:tab w:val="clear" w:pos="4536"/>
        <w:tab w:val="clear" w:pos="9072"/>
        <w:tab w:val="left" w:pos="342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33E2" w14:textId="77777777" w:rsidR="00482125" w:rsidRDefault="004821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97F0" w14:textId="77777777" w:rsidR="00B14E67" w:rsidRDefault="00B14E67" w:rsidP="00EF2F4F">
      <w:pPr>
        <w:pStyle w:val="Textkrper2"/>
      </w:pPr>
      <w:r>
        <w:separator/>
      </w:r>
    </w:p>
  </w:footnote>
  <w:footnote w:type="continuationSeparator" w:id="0">
    <w:p w14:paraId="4A58AAF8" w14:textId="77777777" w:rsidR="00B14E67" w:rsidRDefault="00B14E67" w:rsidP="00EF2F4F">
      <w:pPr>
        <w:pStyle w:val="Textkrper2"/>
      </w:pPr>
      <w:r>
        <w:continuationSeparator/>
      </w:r>
    </w:p>
  </w:footnote>
  <w:footnote w:type="continuationNotice" w:id="1">
    <w:p w14:paraId="16B8F34C" w14:textId="77777777" w:rsidR="00B14E67" w:rsidRDefault="00B14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531C" w14:textId="3FD52C8A" w:rsidR="00482125" w:rsidRDefault="004821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15C2" w14:textId="701A8BC3" w:rsidR="007D2EF7" w:rsidRPr="00DA0B18" w:rsidRDefault="007D2EF7" w:rsidP="007D2EF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0FF9C4D" wp14:editId="791C144E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E87A" wp14:editId="593A58C6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DC673" w14:textId="77777777" w:rsidR="007D2EF7" w:rsidRPr="00200229" w:rsidRDefault="007D2EF7" w:rsidP="007D2EF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75B3166C" w14:textId="77777777" w:rsidR="007D2EF7" w:rsidRPr="00E20335" w:rsidRDefault="007D2EF7" w:rsidP="007D2EF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3E87A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6FFDC673" w14:textId="77777777" w:rsidR="007D2EF7" w:rsidRPr="00200229" w:rsidRDefault="007D2EF7" w:rsidP="007D2EF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75B3166C" w14:textId="77777777" w:rsidR="007D2EF7" w:rsidRPr="00E20335" w:rsidRDefault="007D2EF7" w:rsidP="007D2EF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C9692" wp14:editId="16D9356F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BD97977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B319" w14:textId="7A2A3236" w:rsidR="00482125" w:rsidRDefault="004821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9E"/>
    <w:rsid w:val="00011978"/>
    <w:rsid w:val="0001475E"/>
    <w:rsid w:val="0002710B"/>
    <w:rsid w:val="0003536F"/>
    <w:rsid w:val="0005471A"/>
    <w:rsid w:val="00056F57"/>
    <w:rsid w:val="0005790E"/>
    <w:rsid w:val="000829B1"/>
    <w:rsid w:val="000902B8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4AB8"/>
    <w:rsid w:val="000C60AC"/>
    <w:rsid w:val="000E3EFC"/>
    <w:rsid w:val="000E4F87"/>
    <w:rsid w:val="000F54A5"/>
    <w:rsid w:val="001015F4"/>
    <w:rsid w:val="00105FC2"/>
    <w:rsid w:val="00107419"/>
    <w:rsid w:val="00133AD3"/>
    <w:rsid w:val="00136395"/>
    <w:rsid w:val="001435BE"/>
    <w:rsid w:val="00162924"/>
    <w:rsid w:val="00177FF7"/>
    <w:rsid w:val="0018527C"/>
    <w:rsid w:val="00194AB1"/>
    <w:rsid w:val="001A63BE"/>
    <w:rsid w:val="001B559C"/>
    <w:rsid w:val="001C401E"/>
    <w:rsid w:val="001E6D88"/>
    <w:rsid w:val="001F3192"/>
    <w:rsid w:val="001F7C4E"/>
    <w:rsid w:val="00201045"/>
    <w:rsid w:val="00212507"/>
    <w:rsid w:val="00212DA8"/>
    <w:rsid w:val="00216C66"/>
    <w:rsid w:val="00232D95"/>
    <w:rsid w:val="00240BC3"/>
    <w:rsid w:val="00245052"/>
    <w:rsid w:val="002472D8"/>
    <w:rsid w:val="00264E97"/>
    <w:rsid w:val="002652E8"/>
    <w:rsid w:val="00265E91"/>
    <w:rsid w:val="00267919"/>
    <w:rsid w:val="00281948"/>
    <w:rsid w:val="00281E61"/>
    <w:rsid w:val="00287A66"/>
    <w:rsid w:val="0029461F"/>
    <w:rsid w:val="002A0D97"/>
    <w:rsid w:val="002A0FC1"/>
    <w:rsid w:val="002C282D"/>
    <w:rsid w:val="002C3C79"/>
    <w:rsid w:val="002C734D"/>
    <w:rsid w:val="002D105B"/>
    <w:rsid w:val="002D553E"/>
    <w:rsid w:val="002D7544"/>
    <w:rsid w:val="002D7EC7"/>
    <w:rsid w:val="002E2840"/>
    <w:rsid w:val="002E2EA2"/>
    <w:rsid w:val="002F17EF"/>
    <w:rsid w:val="003223E4"/>
    <w:rsid w:val="00330BC7"/>
    <w:rsid w:val="00336B8E"/>
    <w:rsid w:val="00350512"/>
    <w:rsid w:val="00370D67"/>
    <w:rsid w:val="00375731"/>
    <w:rsid w:val="003828D8"/>
    <w:rsid w:val="003A37D8"/>
    <w:rsid w:val="003A44A2"/>
    <w:rsid w:val="003B0E30"/>
    <w:rsid w:val="003B4599"/>
    <w:rsid w:val="003C2EED"/>
    <w:rsid w:val="003C729B"/>
    <w:rsid w:val="003D339D"/>
    <w:rsid w:val="003D6E5F"/>
    <w:rsid w:val="003E0E55"/>
    <w:rsid w:val="003F4CBE"/>
    <w:rsid w:val="0040435F"/>
    <w:rsid w:val="00413A41"/>
    <w:rsid w:val="0043409B"/>
    <w:rsid w:val="0045320E"/>
    <w:rsid w:val="004771BA"/>
    <w:rsid w:val="0048130C"/>
    <w:rsid w:val="00482125"/>
    <w:rsid w:val="00482DF4"/>
    <w:rsid w:val="00483B80"/>
    <w:rsid w:val="004873FC"/>
    <w:rsid w:val="004901A5"/>
    <w:rsid w:val="00491591"/>
    <w:rsid w:val="00497378"/>
    <w:rsid w:val="004A0E15"/>
    <w:rsid w:val="004B2C59"/>
    <w:rsid w:val="004C0301"/>
    <w:rsid w:val="004C12B1"/>
    <w:rsid w:val="004D3218"/>
    <w:rsid w:val="004D6EA8"/>
    <w:rsid w:val="004D7FD5"/>
    <w:rsid w:val="004E2281"/>
    <w:rsid w:val="004E5047"/>
    <w:rsid w:val="00507B26"/>
    <w:rsid w:val="00507F08"/>
    <w:rsid w:val="00522492"/>
    <w:rsid w:val="00533146"/>
    <w:rsid w:val="00540FD9"/>
    <w:rsid w:val="00542931"/>
    <w:rsid w:val="00542A55"/>
    <w:rsid w:val="00555115"/>
    <w:rsid w:val="00571C4A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2F83"/>
    <w:rsid w:val="005D34A4"/>
    <w:rsid w:val="005D4A76"/>
    <w:rsid w:val="005D6283"/>
    <w:rsid w:val="005F1E8F"/>
    <w:rsid w:val="006002FE"/>
    <w:rsid w:val="00602ECB"/>
    <w:rsid w:val="006035A5"/>
    <w:rsid w:val="006044D2"/>
    <w:rsid w:val="00611FDE"/>
    <w:rsid w:val="00623881"/>
    <w:rsid w:val="0064536F"/>
    <w:rsid w:val="0064550B"/>
    <w:rsid w:val="006476CF"/>
    <w:rsid w:val="00650686"/>
    <w:rsid w:val="00667BC4"/>
    <w:rsid w:val="0068220D"/>
    <w:rsid w:val="006843AD"/>
    <w:rsid w:val="006852AA"/>
    <w:rsid w:val="00685D26"/>
    <w:rsid w:val="00686C0C"/>
    <w:rsid w:val="006915F4"/>
    <w:rsid w:val="00692AE3"/>
    <w:rsid w:val="00694B56"/>
    <w:rsid w:val="006A1E66"/>
    <w:rsid w:val="006B174C"/>
    <w:rsid w:val="006B2FFD"/>
    <w:rsid w:val="006B6444"/>
    <w:rsid w:val="006C1E6A"/>
    <w:rsid w:val="006C5198"/>
    <w:rsid w:val="006D185A"/>
    <w:rsid w:val="006D2D36"/>
    <w:rsid w:val="006D4508"/>
    <w:rsid w:val="006E25DF"/>
    <w:rsid w:val="006E484A"/>
    <w:rsid w:val="007306C9"/>
    <w:rsid w:val="00753E7A"/>
    <w:rsid w:val="00762967"/>
    <w:rsid w:val="00766ED1"/>
    <w:rsid w:val="00767854"/>
    <w:rsid w:val="00771EB8"/>
    <w:rsid w:val="00776A42"/>
    <w:rsid w:val="00780E59"/>
    <w:rsid w:val="007813C2"/>
    <w:rsid w:val="007816FD"/>
    <w:rsid w:val="00781BA5"/>
    <w:rsid w:val="007A5FE2"/>
    <w:rsid w:val="007B3125"/>
    <w:rsid w:val="007B5799"/>
    <w:rsid w:val="007D2EF7"/>
    <w:rsid w:val="007E4104"/>
    <w:rsid w:val="007E63C1"/>
    <w:rsid w:val="007F17AA"/>
    <w:rsid w:val="00803C10"/>
    <w:rsid w:val="0080529D"/>
    <w:rsid w:val="00811747"/>
    <w:rsid w:val="008124FE"/>
    <w:rsid w:val="00814644"/>
    <w:rsid w:val="00820DD5"/>
    <w:rsid w:val="008346F8"/>
    <w:rsid w:val="00835D8A"/>
    <w:rsid w:val="00843736"/>
    <w:rsid w:val="00846FE5"/>
    <w:rsid w:val="00850772"/>
    <w:rsid w:val="00851752"/>
    <w:rsid w:val="008665C4"/>
    <w:rsid w:val="00871346"/>
    <w:rsid w:val="00873D2F"/>
    <w:rsid w:val="00882EF0"/>
    <w:rsid w:val="00887184"/>
    <w:rsid w:val="00887F4F"/>
    <w:rsid w:val="008A2535"/>
    <w:rsid w:val="008A74B1"/>
    <w:rsid w:val="008B038C"/>
    <w:rsid w:val="008B309D"/>
    <w:rsid w:val="008C427A"/>
    <w:rsid w:val="008D5847"/>
    <w:rsid w:val="008E77D0"/>
    <w:rsid w:val="008F4C55"/>
    <w:rsid w:val="009010B3"/>
    <w:rsid w:val="0090373D"/>
    <w:rsid w:val="00905A0B"/>
    <w:rsid w:val="00906250"/>
    <w:rsid w:val="00910C36"/>
    <w:rsid w:val="009260A1"/>
    <w:rsid w:val="00931550"/>
    <w:rsid w:val="00932AA4"/>
    <w:rsid w:val="009446FB"/>
    <w:rsid w:val="00954A48"/>
    <w:rsid w:val="00964C07"/>
    <w:rsid w:val="00970E93"/>
    <w:rsid w:val="00973698"/>
    <w:rsid w:val="00974CF3"/>
    <w:rsid w:val="0099150C"/>
    <w:rsid w:val="009A163A"/>
    <w:rsid w:val="009A6E02"/>
    <w:rsid w:val="009A7F9D"/>
    <w:rsid w:val="009B0DFE"/>
    <w:rsid w:val="009B43FB"/>
    <w:rsid w:val="009B50EB"/>
    <w:rsid w:val="009B629A"/>
    <w:rsid w:val="009B76B9"/>
    <w:rsid w:val="009C413A"/>
    <w:rsid w:val="009C50AC"/>
    <w:rsid w:val="009D0CD0"/>
    <w:rsid w:val="009D1908"/>
    <w:rsid w:val="009E0B91"/>
    <w:rsid w:val="009E0C01"/>
    <w:rsid w:val="00A01BE7"/>
    <w:rsid w:val="00A02C40"/>
    <w:rsid w:val="00A06330"/>
    <w:rsid w:val="00A0654B"/>
    <w:rsid w:val="00A107F5"/>
    <w:rsid w:val="00A13455"/>
    <w:rsid w:val="00A20F13"/>
    <w:rsid w:val="00A22E11"/>
    <w:rsid w:val="00A23230"/>
    <w:rsid w:val="00A23DFC"/>
    <w:rsid w:val="00A5140F"/>
    <w:rsid w:val="00A57B84"/>
    <w:rsid w:val="00A678E6"/>
    <w:rsid w:val="00A7246E"/>
    <w:rsid w:val="00A72641"/>
    <w:rsid w:val="00A7295F"/>
    <w:rsid w:val="00A7489E"/>
    <w:rsid w:val="00A81F73"/>
    <w:rsid w:val="00A93771"/>
    <w:rsid w:val="00A94F59"/>
    <w:rsid w:val="00AA5AEE"/>
    <w:rsid w:val="00AB093F"/>
    <w:rsid w:val="00AB1FF7"/>
    <w:rsid w:val="00AB7A62"/>
    <w:rsid w:val="00AD019D"/>
    <w:rsid w:val="00AD1DFD"/>
    <w:rsid w:val="00AD1E40"/>
    <w:rsid w:val="00AD43B1"/>
    <w:rsid w:val="00AD5960"/>
    <w:rsid w:val="00AE29F6"/>
    <w:rsid w:val="00B02B5B"/>
    <w:rsid w:val="00B070EE"/>
    <w:rsid w:val="00B07CBB"/>
    <w:rsid w:val="00B10ECB"/>
    <w:rsid w:val="00B11580"/>
    <w:rsid w:val="00B14E67"/>
    <w:rsid w:val="00B15092"/>
    <w:rsid w:val="00B309CF"/>
    <w:rsid w:val="00B3109E"/>
    <w:rsid w:val="00B44FDB"/>
    <w:rsid w:val="00B47C61"/>
    <w:rsid w:val="00B51531"/>
    <w:rsid w:val="00B555BE"/>
    <w:rsid w:val="00B71AB6"/>
    <w:rsid w:val="00B81461"/>
    <w:rsid w:val="00B85E2A"/>
    <w:rsid w:val="00B93801"/>
    <w:rsid w:val="00B94272"/>
    <w:rsid w:val="00BC136C"/>
    <w:rsid w:val="00BC3D5D"/>
    <w:rsid w:val="00BD73EC"/>
    <w:rsid w:val="00C07956"/>
    <w:rsid w:val="00C26787"/>
    <w:rsid w:val="00C35EA3"/>
    <w:rsid w:val="00C56066"/>
    <w:rsid w:val="00C5677E"/>
    <w:rsid w:val="00C65EE9"/>
    <w:rsid w:val="00C729A9"/>
    <w:rsid w:val="00C82AA0"/>
    <w:rsid w:val="00C84119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D0DEF"/>
    <w:rsid w:val="00CD10FF"/>
    <w:rsid w:val="00CD6DCA"/>
    <w:rsid w:val="00CD6F22"/>
    <w:rsid w:val="00CE4221"/>
    <w:rsid w:val="00CE6334"/>
    <w:rsid w:val="00CF03E4"/>
    <w:rsid w:val="00CF1FA6"/>
    <w:rsid w:val="00CF2B44"/>
    <w:rsid w:val="00CF2F4A"/>
    <w:rsid w:val="00CF7547"/>
    <w:rsid w:val="00D02BF6"/>
    <w:rsid w:val="00D1368A"/>
    <w:rsid w:val="00D13E05"/>
    <w:rsid w:val="00D20A3F"/>
    <w:rsid w:val="00D21384"/>
    <w:rsid w:val="00D279A1"/>
    <w:rsid w:val="00D31DB7"/>
    <w:rsid w:val="00D369C4"/>
    <w:rsid w:val="00D40AF1"/>
    <w:rsid w:val="00D41BC3"/>
    <w:rsid w:val="00D4302B"/>
    <w:rsid w:val="00D4428F"/>
    <w:rsid w:val="00D45968"/>
    <w:rsid w:val="00D46AAE"/>
    <w:rsid w:val="00D61ECB"/>
    <w:rsid w:val="00D77C61"/>
    <w:rsid w:val="00D87CC8"/>
    <w:rsid w:val="00D909FB"/>
    <w:rsid w:val="00D92EFA"/>
    <w:rsid w:val="00DA0B18"/>
    <w:rsid w:val="00DA2B67"/>
    <w:rsid w:val="00DA4494"/>
    <w:rsid w:val="00DB1071"/>
    <w:rsid w:val="00DB3089"/>
    <w:rsid w:val="00DC3465"/>
    <w:rsid w:val="00DE26C6"/>
    <w:rsid w:val="00DE501B"/>
    <w:rsid w:val="00E133C4"/>
    <w:rsid w:val="00E333E7"/>
    <w:rsid w:val="00E36DD1"/>
    <w:rsid w:val="00E52E1C"/>
    <w:rsid w:val="00E81D08"/>
    <w:rsid w:val="00E81D46"/>
    <w:rsid w:val="00E82F74"/>
    <w:rsid w:val="00E83F4C"/>
    <w:rsid w:val="00E8634F"/>
    <w:rsid w:val="00E90658"/>
    <w:rsid w:val="00E933F8"/>
    <w:rsid w:val="00EA0270"/>
    <w:rsid w:val="00EA4158"/>
    <w:rsid w:val="00EC67B5"/>
    <w:rsid w:val="00EE54C5"/>
    <w:rsid w:val="00EF2F4F"/>
    <w:rsid w:val="00EF401E"/>
    <w:rsid w:val="00F00FC1"/>
    <w:rsid w:val="00F129D7"/>
    <w:rsid w:val="00F15D93"/>
    <w:rsid w:val="00F16D40"/>
    <w:rsid w:val="00F27060"/>
    <w:rsid w:val="00F43EDC"/>
    <w:rsid w:val="00F453E0"/>
    <w:rsid w:val="00F46546"/>
    <w:rsid w:val="00F613C6"/>
    <w:rsid w:val="00F734F5"/>
    <w:rsid w:val="00F7390F"/>
    <w:rsid w:val="00F73F56"/>
    <w:rsid w:val="00F75D2D"/>
    <w:rsid w:val="00F777E8"/>
    <w:rsid w:val="00F86EEC"/>
    <w:rsid w:val="00FA1F7F"/>
    <w:rsid w:val="00FA45C5"/>
    <w:rsid w:val="00FB11F3"/>
    <w:rsid w:val="00FB53D5"/>
    <w:rsid w:val="00FC1B46"/>
    <w:rsid w:val="00FC38C9"/>
    <w:rsid w:val="00FE0C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16C3C-07C8-4BFE-A2DC-7E614532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B494F1-5B35-40E6-8DBA-DDA2D85982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5E54C-2466-4486-9281-E3DC9D48A6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5141</Characters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2020-07-07T21:04:00Z</cp:lastPrinted>
  <dcterms:created xsi:type="dcterms:W3CDTF">2019-12-09T07:40:00Z</dcterms:created>
  <dcterms:modified xsi:type="dcterms:W3CDTF">2021-07-20T07:30:00Z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