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DF8B" w14:textId="77777777" w:rsidR="00283905" w:rsidRDefault="00000000">
      <w:pPr>
        <w:pStyle w:val="Textbody"/>
      </w:pPr>
      <w:proofErr w:type="spellStart"/>
      <w:r>
        <w:rPr>
          <w:rStyle w:val="StrongEmphasis"/>
        </w:rPr>
        <w:t>Aravani</w:t>
      </w:r>
      <w:proofErr w:type="spellEnd"/>
      <w:r>
        <w:rPr>
          <w:rStyle w:val="StrongEmphasis"/>
        </w:rPr>
        <w:t xml:space="preserve"> </w:t>
      </w:r>
      <w:r>
        <w:rPr>
          <w:rStyle w:val="StrongEmphasis"/>
          <w:b w:val="0"/>
          <w:bCs w:val="0"/>
        </w:rPr>
        <w:t>ist der tamilische Begriff für Personen, die außerhalb der typischen Erwartungen an Geschlecht leben (gender-</w:t>
      </w:r>
      <w:proofErr w:type="spellStart"/>
      <w:r>
        <w:rPr>
          <w:rStyle w:val="StrongEmphasis"/>
          <w:b w:val="0"/>
          <w:bCs w:val="0"/>
        </w:rPr>
        <w:t>nonconforming</w:t>
      </w:r>
      <w:proofErr w:type="spellEnd"/>
      <w:r>
        <w:rPr>
          <w:rStyle w:val="StrongEmphasis"/>
          <w:b w:val="0"/>
          <w:bCs w:val="0"/>
        </w:rPr>
        <w:t>) und deren Geschlechtsidentität und -ausdruck feminin sind. Das steht oft in Konflikt mit einer konservativen Umgebung und Ursprungsfamilie, die „männliches“ Verhalten erwarten. Die Bezeichnung ist vor allem in Südindien und Sri Lanka verbreitet. In Nordindien wird die Bezeichnung „</w:t>
      </w:r>
      <w:proofErr w:type="spellStart"/>
      <w:r>
        <w:rPr>
          <w:rStyle w:val="StrongEmphasis"/>
        </w:rPr>
        <w:t>Hijra</w:t>
      </w:r>
      <w:proofErr w:type="spellEnd"/>
      <w:r>
        <w:rPr>
          <w:rStyle w:val="StrongEmphasis"/>
        </w:rPr>
        <w:t>“</w:t>
      </w:r>
      <w:r>
        <w:rPr>
          <w:rStyle w:val="StrongEmphasis"/>
          <w:b w:val="0"/>
          <w:bCs w:val="0"/>
        </w:rPr>
        <w:t xml:space="preserve"> benutzt.</w:t>
      </w:r>
    </w:p>
    <w:p w14:paraId="4A56874D" w14:textId="77777777" w:rsidR="00283905" w:rsidRDefault="00000000">
      <w:pPr>
        <w:pStyle w:val="Textbody"/>
      </w:pPr>
      <w:r>
        <w:rPr>
          <w:rStyle w:val="StrongEmphasis"/>
        </w:rPr>
        <w:t>Bi*PoC</w:t>
      </w:r>
      <w:r>
        <w:rPr>
          <w:rStyle w:val="StrongEmphasis"/>
          <w:b w:val="0"/>
          <w:bCs w:val="0"/>
        </w:rPr>
        <w:t xml:space="preserve"> ist eine englische Abkürzung und eine Selbstbezeichnung. Das</w:t>
      </w:r>
      <w:r>
        <w:rPr>
          <w:rStyle w:val="StrongEmphasis"/>
        </w:rPr>
        <w:t xml:space="preserve"> B</w:t>
      </w:r>
      <w:r>
        <w:rPr>
          <w:rStyle w:val="StrongEmphasis"/>
          <w:b w:val="0"/>
          <w:bCs w:val="0"/>
        </w:rPr>
        <w:t xml:space="preserve"> steht für „Black“ und für Schwarze Menschen mit </w:t>
      </w:r>
      <w:proofErr w:type="spellStart"/>
      <w:r>
        <w:rPr>
          <w:rStyle w:val="StrongEmphasis"/>
          <w:b w:val="0"/>
          <w:bCs w:val="0"/>
        </w:rPr>
        <w:t>Rassismuserfahrung</w:t>
      </w:r>
      <w:proofErr w:type="spellEnd"/>
      <w:r>
        <w:rPr>
          <w:rStyle w:val="StrongEmphasis"/>
          <w:b w:val="0"/>
          <w:bCs w:val="0"/>
        </w:rPr>
        <w:t xml:space="preserve">. Das </w:t>
      </w:r>
      <w:r>
        <w:rPr>
          <w:rStyle w:val="StrongEmphasis"/>
        </w:rPr>
        <w:t xml:space="preserve">i </w:t>
      </w:r>
      <w:r>
        <w:rPr>
          <w:rStyle w:val="StrongEmphasis"/>
          <w:b w:val="0"/>
          <w:bCs w:val="0"/>
        </w:rPr>
        <w:t>steht für „</w:t>
      </w:r>
      <w:proofErr w:type="spellStart"/>
      <w:r>
        <w:rPr>
          <w:rStyle w:val="StrongEmphasis"/>
          <w:b w:val="0"/>
          <w:bCs w:val="0"/>
        </w:rPr>
        <w:t>indigenous</w:t>
      </w:r>
      <w:proofErr w:type="spellEnd"/>
      <w:r>
        <w:rPr>
          <w:rStyle w:val="StrongEmphasis"/>
          <w:b w:val="0"/>
          <w:bCs w:val="0"/>
        </w:rPr>
        <w:t xml:space="preserve">“ und meint Ureinwohner*innen, die kolonialisiert wurden. </w:t>
      </w:r>
      <w:r>
        <w:rPr>
          <w:rStyle w:val="StrongEmphasis"/>
        </w:rPr>
        <w:t>PoC</w:t>
      </w:r>
      <w:r>
        <w:rPr>
          <w:rStyle w:val="StrongEmphasis"/>
          <w:b w:val="0"/>
          <w:bCs w:val="0"/>
        </w:rPr>
        <w:t xml:space="preserve"> steht für „Person/People </w:t>
      </w:r>
      <w:proofErr w:type="spellStart"/>
      <w:r>
        <w:rPr>
          <w:rStyle w:val="StrongEmphasis"/>
          <w:b w:val="0"/>
          <w:bCs w:val="0"/>
        </w:rPr>
        <w:t>of</w:t>
      </w:r>
      <w:proofErr w:type="spellEnd"/>
      <w:r>
        <w:rPr>
          <w:rStyle w:val="StrongEmphasis"/>
          <w:b w:val="0"/>
          <w:bCs w:val="0"/>
        </w:rPr>
        <w:t xml:space="preserve"> Colour“. Es ist eine Selbstbezeichnung von Menschen, die nicht als </w:t>
      </w:r>
      <w:r>
        <w:rPr>
          <w:rStyle w:val="StrongEmphasis"/>
          <w:b w:val="0"/>
          <w:bCs w:val="0"/>
          <w:i/>
          <w:iCs/>
        </w:rPr>
        <w:t>weiß</w:t>
      </w:r>
      <w:r>
        <w:rPr>
          <w:rStyle w:val="StrongEmphasis"/>
          <w:b w:val="0"/>
          <w:bCs w:val="0"/>
        </w:rPr>
        <w:t xml:space="preserve"> wahrgenommen werden. Sie definieren sich auch nicht so. Sie haben </w:t>
      </w:r>
      <w:proofErr w:type="spellStart"/>
      <w:r>
        <w:rPr>
          <w:rStyle w:val="StrongEmphasis"/>
          <w:b w:val="0"/>
          <w:bCs w:val="0"/>
        </w:rPr>
        <w:t>Rassismuserfahrungen</w:t>
      </w:r>
      <w:proofErr w:type="spellEnd"/>
      <w:r>
        <w:rPr>
          <w:rStyle w:val="StrongEmphasis"/>
          <w:b w:val="0"/>
          <w:bCs w:val="0"/>
        </w:rPr>
        <w:t xml:space="preserve"> gemacht. Schwarz und </w:t>
      </w:r>
      <w:r>
        <w:rPr>
          <w:rStyle w:val="StrongEmphasis"/>
          <w:b w:val="0"/>
          <w:bCs w:val="0"/>
          <w:i/>
          <w:iCs/>
        </w:rPr>
        <w:t>weiß</w:t>
      </w:r>
      <w:r>
        <w:rPr>
          <w:rStyle w:val="StrongEmphasis"/>
          <w:b w:val="0"/>
          <w:bCs w:val="0"/>
        </w:rPr>
        <w:t xml:space="preserve"> sind politische Begriffe. Es geht um Machtverhältnisse. Das * steht für Menschen, die </w:t>
      </w:r>
      <w:proofErr w:type="spellStart"/>
      <w:r>
        <w:rPr>
          <w:rStyle w:val="StrongEmphasis"/>
          <w:b w:val="0"/>
          <w:bCs w:val="0"/>
        </w:rPr>
        <w:t>Rassismuserfahrungen</w:t>
      </w:r>
      <w:proofErr w:type="spellEnd"/>
      <w:r>
        <w:rPr>
          <w:rStyle w:val="StrongEmphasis"/>
          <w:b w:val="0"/>
          <w:bCs w:val="0"/>
        </w:rPr>
        <w:t xml:space="preserve"> machen, sich aber von </w:t>
      </w:r>
      <w:proofErr w:type="spellStart"/>
      <w:r>
        <w:rPr>
          <w:rStyle w:val="StrongEmphasis"/>
          <w:b w:val="0"/>
          <w:bCs w:val="0"/>
        </w:rPr>
        <w:t>BiPoC</w:t>
      </w:r>
      <w:proofErr w:type="spellEnd"/>
      <w:r>
        <w:rPr>
          <w:rStyle w:val="StrongEmphasis"/>
          <w:b w:val="0"/>
          <w:bCs w:val="0"/>
        </w:rPr>
        <w:t xml:space="preserve"> nicht angesprochen fühlen.</w:t>
      </w:r>
    </w:p>
    <w:p w14:paraId="74916A77" w14:textId="77777777" w:rsidR="00283905" w:rsidRDefault="00000000">
      <w:pPr>
        <w:pStyle w:val="Textbody"/>
      </w:pPr>
      <w:r>
        <w:rPr>
          <w:rStyle w:val="StrongEmphasis"/>
        </w:rPr>
        <w:t>Disability Justice</w:t>
      </w:r>
      <w:r>
        <w:rPr>
          <w:rStyle w:val="StrongEmphasis"/>
          <w:b w:val="0"/>
          <w:bCs w:val="0"/>
        </w:rPr>
        <w:t xml:space="preserve"> bedeutet, dass Menschen mit Behinderungen die gleichen Rechte und Möglichkeiten haben sollen wie alle anderen. Es zeigt, dass Behinderung nicht das Problem einer Person ist, sondern dass die Gesellschaft Barrieren schafft: zum Beispiel durch fehlende Unterstützung oder nicht zugängliche Orte. Disability Justice verbindet diesen Kampf mit anderen Bewegungen wie Klimagerechtigkeit oder Geschlechtergerechtigkeit.</w:t>
      </w:r>
    </w:p>
    <w:p w14:paraId="09AE3ABD" w14:textId="77777777" w:rsidR="00283905" w:rsidRDefault="00000000">
      <w:pPr>
        <w:pStyle w:val="Textbody"/>
      </w:pPr>
      <w:r>
        <w:rPr>
          <w:rStyle w:val="StrongEmphasis"/>
        </w:rPr>
        <w:t>FLINTA*</w:t>
      </w:r>
      <w:r>
        <w:rPr>
          <w:rStyle w:val="StrongEmphasis"/>
          <w:b w:val="0"/>
          <w:bCs w:val="0"/>
        </w:rPr>
        <w:t xml:space="preserve"> steht für: F = Frauen; L = Lesben: I = intergeschlechtlich: Damit sind Personen gemeint, deren Körper bei der Geburt weder dem männlichen noch dem weiblichen Geschlecht zugeordnet werden; N = nicht-binär: Diese Personen identifizieren sich weder als Mann noch als </w:t>
      </w:r>
      <w:proofErr w:type="spellStart"/>
      <w:r>
        <w:rPr>
          <w:rStyle w:val="StrongEmphasis"/>
          <w:b w:val="0"/>
          <w:bCs w:val="0"/>
        </w:rPr>
        <w:t>Frau;T</w:t>
      </w:r>
      <w:proofErr w:type="spellEnd"/>
      <w:r>
        <w:rPr>
          <w:rStyle w:val="StrongEmphasis"/>
          <w:b w:val="0"/>
          <w:bCs w:val="0"/>
        </w:rPr>
        <w:t xml:space="preserve">= trans Personen: Alle Personen, deren gelebtes Geschlecht bzw. Geschlechtsidentität nicht mit dem ihnen bei der Geburt zugewiesenen Geschlecht übereinstimmt; A = </w:t>
      </w:r>
      <w:proofErr w:type="spellStart"/>
      <w:r>
        <w:rPr>
          <w:rStyle w:val="StrongEmphasis"/>
          <w:b w:val="0"/>
          <w:bCs w:val="0"/>
        </w:rPr>
        <w:t>agender</w:t>
      </w:r>
      <w:proofErr w:type="spellEnd"/>
      <w:r>
        <w:rPr>
          <w:rStyle w:val="StrongEmphasis"/>
          <w:b w:val="0"/>
          <w:bCs w:val="0"/>
        </w:rPr>
        <w:t>: Beschreibt Menschen, die sich keinem Geschlecht zugehörig fühlen. Das * möchte alle Personen mit Geschlechtsidentitäten ansprechen, die FLINTA nicht abdeckt.</w:t>
      </w:r>
    </w:p>
    <w:p w14:paraId="7C102086" w14:textId="77777777" w:rsidR="00283905" w:rsidRDefault="00000000">
      <w:pPr>
        <w:pStyle w:val="Textbody"/>
      </w:pPr>
      <w:r>
        <w:rPr>
          <w:rStyle w:val="StrongEmphasis"/>
        </w:rPr>
        <w:t>Gender-</w:t>
      </w:r>
      <w:proofErr w:type="spellStart"/>
      <w:r>
        <w:rPr>
          <w:rStyle w:val="StrongEmphasis"/>
        </w:rPr>
        <w:t>nonconforming</w:t>
      </w:r>
      <w:proofErr w:type="spellEnd"/>
      <w:r>
        <w:rPr>
          <w:rStyle w:val="StrongEmphasis"/>
        </w:rPr>
        <w:t xml:space="preserve"> </w:t>
      </w:r>
      <w:r>
        <w:rPr>
          <w:rStyle w:val="StrongEmphasis"/>
          <w:b w:val="0"/>
          <w:bCs w:val="0"/>
        </w:rPr>
        <w:t>bedeutet, dass eine Person nicht den Erwartungen entspricht, wie jemand mit einem bestimmten Geschlecht sich verhalten oder aussehen „sollte“. Das heißt, sie lebt und drückt ihr Geschlecht auf ihre eigene Weise aus, unabhängig von typischen Vorstellungen, was „männlich“ oder „weiblich“ ist.</w:t>
      </w:r>
    </w:p>
    <w:p w14:paraId="11BCB9E8" w14:textId="77777777" w:rsidR="00283905" w:rsidRDefault="00000000">
      <w:pPr>
        <w:pStyle w:val="Textbody"/>
      </w:pPr>
      <w:r>
        <w:rPr>
          <w:rStyle w:val="StrongEmphasis"/>
        </w:rPr>
        <w:t xml:space="preserve">LGBTQIA* </w:t>
      </w:r>
      <w:r>
        <w:t xml:space="preserve">ist ein Sammelbegriff für Menschen mit unterschiedlichen sexuellen Orientierungen und Geschlechtsidentitäten, die nicht in die klassischen Vorstellungen von Heterosexualität oder binären Geschlechtern passen. </w:t>
      </w:r>
      <w:r>
        <w:rPr>
          <w:rStyle w:val="StrongEmphasis"/>
          <w:b w:val="0"/>
          <w:bCs w:val="0"/>
        </w:rPr>
        <w:t xml:space="preserve">Das * möchte alle Personen mit Geschlechtsidentitäten und nicht-normativen Sexualitäten ansprechen, die </w:t>
      </w:r>
      <w:r>
        <w:rPr>
          <w:rStyle w:val="StrongEmphasis"/>
        </w:rPr>
        <w:t>LGBTQIA</w:t>
      </w:r>
      <w:r>
        <w:rPr>
          <w:rStyle w:val="StrongEmphasis"/>
          <w:b w:val="0"/>
          <w:bCs w:val="0"/>
        </w:rPr>
        <w:t xml:space="preserve"> nicht abdeckt. </w:t>
      </w:r>
      <w:r>
        <w:br/>
      </w:r>
      <w:r>
        <w:tab/>
        <w:t>Eine Kritik am LGBTQIA*-Begriff ist, dass er oft westliche Vorstellungen von Identität und Geschlecht voraussetzt. Andere sagen, dass die Vielfalt durch Abkürzungen nicht ausreichend abgebildet wird oder sich Personen ausgeschlossen fühlen können. Dennoch wird LGBTQIA* als wichtiger Begriff verwendet, um Aufmerksamkeit auf die Rechte und Anliegen vieler marginalisierter Gruppen zu lenken.</w:t>
      </w:r>
    </w:p>
    <w:p w14:paraId="1034AB43" w14:textId="77777777" w:rsidR="00283905" w:rsidRDefault="00000000">
      <w:pPr>
        <w:pStyle w:val="Textbody"/>
        <w:numPr>
          <w:ilvl w:val="0"/>
          <w:numId w:val="1"/>
        </w:numPr>
        <w:spacing w:after="0"/>
      </w:pPr>
      <w:r>
        <w:rPr>
          <w:rStyle w:val="StrongEmphasis"/>
        </w:rPr>
        <w:lastRenderedPageBreak/>
        <w:t>L (</w:t>
      </w:r>
      <w:proofErr w:type="spellStart"/>
      <w:r>
        <w:rPr>
          <w:rStyle w:val="StrongEmphasis"/>
        </w:rPr>
        <w:t>lesbian</w:t>
      </w:r>
      <w:proofErr w:type="spellEnd"/>
      <w:r>
        <w:rPr>
          <w:rStyle w:val="StrongEmphasis"/>
        </w:rPr>
        <w:t>):</w:t>
      </w:r>
      <w:r>
        <w:t xml:space="preserve"> Frauen, die sich romantisch oder sexuell zu Frauen hingezogen fühlen.</w:t>
      </w:r>
    </w:p>
    <w:p w14:paraId="4F9AE2BC" w14:textId="77777777" w:rsidR="00283905" w:rsidRDefault="00000000">
      <w:pPr>
        <w:pStyle w:val="Textbody"/>
        <w:numPr>
          <w:ilvl w:val="0"/>
          <w:numId w:val="2"/>
        </w:numPr>
        <w:spacing w:after="0"/>
      </w:pPr>
      <w:r>
        <w:rPr>
          <w:rStyle w:val="StrongEmphasis"/>
        </w:rPr>
        <w:t>G (gay):</w:t>
      </w:r>
      <w:r>
        <w:t xml:space="preserve"> Männer, die sich romantisch oder sexuell zu Männern hingezogen fühlen. Der Begriff wird manchmal auch allgemein für gleichgeschlechtliche Liebe verwendet.</w:t>
      </w:r>
    </w:p>
    <w:p w14:paraId="03F92563" w14:textId="77777777" w:rsidR="00283905" w:rsidRDefault="00000000">
      <w:pPr>
        <w:pStyle w:val="Textbody"/>
        <w:numPr>
          <w:ilvl w:val="0"/>
          <w:numId w:val="3"/>
        </w:numPr>
        <w:spacing w:after="0"/>
      </w:pPr>
      <w:r>
        <w:rPr>
          <w:rStyle w:val="StrongEmphasis"/>
        </w:rPr>
        <w:t>B (</w:t>
      </w:r>
      <w:proofErr w:type="spellStart"/>
      <w:r>
        <w:rPr>
          <w:rStyle w:val="StrongEmphasis"/>
        </w:rPr>
        <w:t>bisexual</w:t>
      </w:r>
      <w:proofErr w:type="spellEnd"/>
      <w:r>
        <w:rPr>
          <w:rStyle w:val="StrongEmphasis"/>
        </w:rPr>
        <w:t>):</w:t>
      </w:r>
      <w:r>
        <w:t xml:space="preserve"> Menschen, die sich zu mehr als einem Geschlecht hingezogen fühlen.</w:t>
      </w:r>
    </w:p>
    <w:p w14:paraId="081BE756" w14:textId="77777777" w:rsidR="00283905" w:rsidRDefault="00000000">
      <w:pPr>
        <w:pStyle w:val="Textbody"/>
        <w:numPr>
          <w:ilvl w:val="0"/>
          <w:numId w:val="4"/>
        </w:numPr>
        <w:spacing w:after="0"/>
      </w:pPr>
      <w:r>
        <w:rPr>
          <w:rStyle w:val="StrongEmphasis"/>
        </w:rPr>
        <w:t>T (transgender):</w:t>
      </w:r>
      <w:r>
        <w:t xml:space="preserve"> Personen, deren Geschlechtsidentität nicht mit dem Geschlecht übereinstimmt, das ihnen bei der Geburt zugewiesen wurde.</w:t>
      </w:r>
    </w:p>
    <w:p w14:paraId="318693B4" w14:textId="77777777" w:rsidR="00283905" w:rsidRDefault="00000000">
      <w:pPr>
        <w:pStyle w:val="Textbody"/>
        <w:numPr>
          <w:ilvl w:val="0"/>
          <w:numId w:val="5"/>
        </w:numPr>
        <w:spacing w:after="0"/>
      </w:pPr>
      <w:r>
        <w:rPr>
          <w:rStyle w:val="StrongEmphasis"/>
        </w:rPr>
        <w:t>Q (queer):</w:t>
      </w:r>
      <w:r>
        <w:t xml:space="preserve"> Ein Sammelbegriff für Menschen, die ihre sexuelle Orientierung oder Geschlechtsidentität nicht in traditionelle Kategorien einordnen. Der Begriff wird auch zur Hinterfragung von gesellschaftlichen Normen genutzt.</w:t>
      </w:r>
    </w:p>
    <w:p w14:paraId="12DD227B" w14:textId="77777777" w:rsidR="00283905" w:rsidRDefault="00000000">
      <w:pPr>
        <w:pStyle w:val="Textbody"/>
        <w:numPr>
          <w:ilvl w:val="0"/>
          <w:numId w:val="6"/>
        </w:numPr>
        <w:spacing w:after="0"/>
      </w:pPr>
      <w:r>
        <w:rPr>
          <w:rStyle w:val="StrongEmphasis"/>
        </w:rPr>
        <w:t>I (</w:t>
      </w:r>
      <w:proofErr w:type="spellStart"/>
      <w:r>
        <w:rPr>
          <w:rStyle w:val="StrongEmphasis"/>
        </w:rPr>
        <w:t>intersex</w:t>
      </w:r>
      <w:proofErr w:type="spellEnd"/>
      <w:r>
        <w:rPr>
          <w:rStyle w:val="StrongEmphasis"/>
        </w:rPr>
        <w:t>):</w:t>
      </w:r>
      <w:r>
        <w:t xml:space="preserve"> Menschen, die mit körperlichen Merkmalen geboren wurden, die nicht eindeutig den medizinischen Kategorien von „männlich“ oder „weiblich“ zugeordnet werden können.</w:t>
      </w:r>
    </w:p>
    <w:p w14:paraId="4880841A" w14:textId="77777777" w:rsidR="00283905" w:rsidRDefault="00000000">
      <w:pPr>
        <w:pStyle w:val="Textbody"/>
        <w:numPr>
          <w:ilvl w:val="0"/>
          <w:numId w:val="7"/>
        </w:numPr>
      </w:pPr>
      <w:r>
        <w:rPr>
          <w:rStyle w:val="StrongEmphasis"/>
        </w:rPr>
        <w:t>A (asexual):</w:t>
      </w:r>
      <w:r>
        <w:t xml:space="preserve"> Personen, die keine oder wenig sexuelle Anziehung zu anderen Menschen empfinden.</w:t>
      </w:r>
    </w:p>
    <w:p w14:paraId="0558B4DD" w14:textId="77777777" w:rsidR="00283905" w:rsidRDefault="00000000">
      <w:pPr>
        <w:pStyle w:val="Textbody"/>
      </w:pPr>
      <w:r>
        <w:rPr>
          <w:rStyle w:val="StrongEmphasis"/>
        </w:rPr>
        <w:t>Trans</w:t>
      </w:r>
      <w:r>
        <w:t>* (siehe T (Transgender)): Das * steht für die Vielfalt an Identitäten, die unter den Begriff trans* fallen, wie nicht-binäre oder genderqueere Personen.</w:t>
      </w:r>
    </w:p>
    <w:p w14:paraId="371F267A" w14:textId="77777777" w:rsidR="00283905" w:rsidRDefault="00000000">
      <w:pPr>
        <w:pStyle w:val="Textbody"/>
        <w:rPr>
          <w:shd w:val="clear" w:color="auto" w:fill="FFFF00"/>
        </w:rPr>
      </w:pPr>
      <w:proofErr w:type="spellStart"/>
      <w:r>
        <w:rPr>
          <w:rStyle w:val="StrongEmphasis"/>
        </w:rPr>
        <w:t>Nishnaabeg</w:t>
      </w:r>
      <w:proofErr w:type="spellEnd"/>
      <w:r>
        <w:t xml:space="preserve"> sind eine indigene Gemeinschaft in Nordamerika und gehören zu den </w:t>
      </w:r>
      <w:r>
        <w:rPr>
          <w:rStyle w:val="StrongEmphasis"/>
          <w:b w:val="0"/>
          <w:bCs w:val="0"/>
        </w:rPr>
        <w:t xml:space="preserve">First </w:t>
      </w:r>
      <w:proofErr w:type="spellStart"/>
      <w:r>
        <w:rPr>
          <w:rStyle w:val="StrongEmphasis"/>
          <w:b w:val="0"/>
          <w:bCs w:val="0"/>
        </w:rPr>
        <w:t>Nations</w:t>
      </w:r>
      <w:proofErr w:type="spellEnd"/>
      <w:r>
        <w:t xml:space="preserve">. Die </w:t>
      </w:r>
      <w:r>
        <w:rPr>
          <w:rStyle w:val="StrongEmphasis"/>
          <w:b w:val="0"/>
          <w:bCs w:val="0"/>
        </w:rPr>
        <w:t xml:space="preserve">First </w:t>
      </w:r>
      <w:proofErr w:type="spellStart"/>
      <w:r>
        <w:rPr>
          <w:rStyle w:val="StrongEmphasis"/>
          <w:b w:val="0"/>
          <w:bCs w:val="0"/>
        </w:rPr>
        <w:t>Nations</w:t>
      </w:r>
      <w:proofErr w:type="spellEnd"/>
      <w:r>
        <w:t xml:space="preserve"> sind die ursprünglichen Bewohner*innen Kanadas, die bereits vor dem kolonialen Landraub der Briten und Franzosen dort lebten. Die </w:t>
      </w:r>
      <w:proofErr w:type="spellStart"/>
      <w:r>
        <w:t>Nishnaabeg</w:t>
      </w:r>
      <w:proofErr w:type="spellEnd"/>
      <w:r>
        <w:t xml:space="preserve"> leben vor allem in der Region rund um die </w:t>
      </w:r>
      <w:r>
        <w:rPr>
          <w:rStyle w:val="StrongEmphasis"/>
          <w:b w:val="0"/>
          <w:bCs w:val="0"/>
        </w:rPr>
        <w:t>Großen Seen</w:t>
      </w:r>
      <w:r>
        <w:t xml:space="preserve">, wie den </w:t>
      </w:r>
      <w:r>
        <w:rPr>
          <w:rStyle w:val="StrongEmphasis"/>
          <w:b w:val="0"/>
          <w:bCs w:val="0"/>
        </w:rPr>
        <w:t>Lake Superior</w:t>
      </w:r>
      <w:r>
        <w:t xml:space="preserve"> und den </w:t>
      </w:r>
      <w:r>
        <w:rPr>
          <w:rStyle w:val="StrongEmphasis"/>
          <w:b w:val="0"/>
          <w:bCs w:val="0"/>
        </w:rPr>
        <w:t>Lake Michigan</w:t>
      </w:r>
      <w:r>
        <w:t>, in den USA und Kanada</w:t>
      </w:r>
    </w:p>
    <w:p w14:paraId="4113E5E5" w14:textId="77777777" w:rsidR="00283905" w:rsidRDefault="00000000">
      <w:pPr>
        <w:pStyle w:val="Textbody"/>
      </w:pPr>
      <w:r>
        <w:rPr>
          <w:rStyle w:val="StrongEmphasis"/>
        </w:rPr>
        <w:t xml:space="preserve">Nicht-normative Sexualitäten </w:t>
      </w:r>
      <w:r>
        <w:t>sind sexuelle Orientierungen, die nicht der gesellschaftlichen Norm von Heterosexualität entsprechen. Dazu gehören z. B. lesbische, schwule, bisexuelle oder asexuelle Menschen. Der Begriff „nicht-normativ“ wird verwendet, um zu zeigen, dass diese Sexualitäten von den gesellschaftlichen Erwartungen abweichen, aber genauso normal und wertvoll sind.</w:t>
      </w:r>
    </w:p>
    <w:p w14:paraId="33675849" w14:textId="77777777" w:rsidR="00283905" w:rsidRDefault="00000000">
      <w:pPr>
        <w:pStyle w:val="Textbody"/>
      </w:pPr>
      <w:r>
        <w:t>Menschen mit nicht-normativer Sexualität kämpfen oft gegen Vorurteile und Diskriminierung und setzen sich für eine Gesellschaft ein, die alle Orientierungen akzeptiert.</w:t>
      </w:r>
    </w:p>
    <w:p w14:paraId="1EB2B70C" w14:textId="77777777" w:rsidR="00283905" w:rsidRDefault="00000000">
      <w:pPr>
        <w:pStyle w:val="Textbody"/>
      </w:pPr>
      <w:r>
        <w:rPr>
          <w:rStyle w:val="StrongEmphasis"/>
        </w:rPr>
        <w:t xml:space="preserve">Intersektionalität </w:t>
      </w:r>
      <w:r>
        <w:t>bedeutet, dass verschiedene Formen von Diskriminierung und Ungleichheit zusammenwirken können. Zum Beispiel kann eine Person gleichzeitig aufgrund von Geschlecht, Hautfarbe, sexueller Orientierung oder Behinderung benachteiligt sein. Intersektionalität hilft zu verstehen, dass diese Diskriminierungen nicht getrennt voneinander existieren, sondern sich gegenseitig verstärken können.</w:t>
      </w:r>
    </w:p>
    <w:p w14:paraId="4925089F" w14:textId="77777777" w:rsidR="00283905" w:rsidRDefault="00000000">
      <w:pPr>
        <w:pStyle w:val="Textbody"/>
      </w:pPr>
      <w:r>
        <w:t xml:space="preserve">Der Begriff wurde von der Juristin </w:t>
      </w:r>
      <w:proofErr w:type="spellStart"/>
      <w:r>
        <w:t>Kimberlé</w:t>
      </w:r>
      <w:proofErr w:type="spellEnd"/>
      <w:r>
        <w:t xml:space="preserve"> Crenshaw geprägt und ist wichtig, um die Lebensrealitäten von Menschen sichtbar zu machen, die mehrfach diskriminiert werden. Ziel ist es, Lösungen zu finden, die alle Perspektiven berücksichtigen.</w:t>
      </w:r>
    </w:p>
    <w:p w14:paraId="2CC89D9F" w14:textId="77777777" w:rsidR="00283905" w:rsidRDefault="00283905">
      <w:pPr>
        <w:pStyle w:val="Textbody"/>
      </w:pPr>
    </w:p>
    <w:p w14:paraId="275398C8" w14:textId="77777777" w:rsidR="00283905" w:rsidRDefault="00000000">
      <w:pPr>
        <w:pStyle w:val="Textbody"/>
      </w:pPr>
      <w:r>
        <w:lastRenderedPageBreak/>
        <w:t>Weiterführendes Material:</w:t>
      </w:r>
    </w:p>
    <w:p w14:paraId="4D18F717" w14:textId="77777777" w:rsidR="00283905" w:rsidRDefault="00000000">
      <w:pPr>
        <w:pStyle w:val="Textbody"/>
        <w:rPr>
          <w:b/>
          <w:bCs/>
        </w:rPr>
      </w:pPr>
      <w:r>
        <w:t xml:space="preserve">Konzeptwerk Neue Ökonomie (2022): Wörter des globalen Lernens. Mit Kopf, Herz und Hand. </w:t>
      </w:r>
      <w:hyperlink r:id="rId7" w:history="1">
        <w:r>
          <w:t>https://konzeptwerk-neue-oekonomie.org/wp-content/uploads/2022/09/Glossar_GlobalesLernen_Deutsch_digital.pdf</w:t>
        </w:r>
      </w:hyperlink>
    </w:p>
    <w:p w14:paraId="51CBFD4E" w14:textId="77777777" w:rsidR="00283905" w:rsidRDefault="00283905">
      <w:pPr>
        <w:pStyle w:val="Textbody"/>
        <w:rPr>
          <w:b/>
          <w:bCs/>
        </w:rPr>
      </w:pPr>
    </w:p>
    <w:sectPr w:rsidR="00283905">
      <w:headerReference w:type="default" r:id="rId8"/>
      <w:foot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552A6" w14:textId="77777777" w:rsidR="009E5757" w:rsidRDefault="009E5757">
      <w:pPr>
        <w:spacing w:line="240" w:lineRule="auto"/>
      </w:pPr>
      <w:r>
        <w:separator/>
      </w:r>
    </w:p>
  </w:endnote>
  <w:endnote w:type="continuationSeparator" w:id="0">
    <w:p w14:paraId="050FD08B" w14:textId="77777777" w:rsidR="009E5757" w:rsidRDefault="009E57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2"/>
    <w:family w:val="auto"/>
    <w:pitch w:val="default"/>
  </w:font>
  <w:font w:name="Liberation Serif">
    <w:charset w:val="00"/>
    <w:family w:val="roman"/>
    <w:pitch w:val="variable"/>
  </w:font>
  <w:font w:name="Noto Serif CJK SC">
    <w:charset w:val="00"/>
    <w:family w:val="auto"/>
    <w:pitch w:val="variable"/>
  </w:font>
  <w:font w:name="Lohit Devanagari">
    <w:charset w:val="00"/>
    <w:family w:val="auto"/>
    <w:pitch w:val="variable"/>
  </w:font>
  <w:font w:name="Atkinson Hyperlegible">
    <w:altName w:val="Calibri"/>
    <w:charset w:val="00"/>
    <w:family w:val="auto"/>
    <w:pitch w:val="variable"/>
  </w:font>
  <w:font w:name="Unbounded">
    <w:altName w:val="Calibri"/>
    <w:charset w:val="00"/>
    <w:family w:val="auto"/>
    <w:pitch w:val="variable"/>
  </w:font>
  <w:font w:name="Liberation Sans">
    <w:charset w:val="00"/>
    <w:family w:val="swiss"/>
    <w:pitch w:val="variable"/>
  </w:font>
  <w:font w:name="Noto Sans CJK SC">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Mono">
    <w:charset w:val="00"/>
    <w:family w:val="modern"/>
    <w:pitch w:val="fixed"/>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7BBEF" w14:textId="77777777" w:rsidR="00000000" w:rsidRDefault="00000000">
    <w:pPr>
      <w:pStyle w:val="Fuzeile"/>
    </w:pPr>
    <w:r>
      <w:rPr>
        <w:noProof/>
      </w:rPr>
      <w:drawing>
        <wp:anchor distT="0" distB="0" distL="114300" distR="114300" simplePos="0" relativeHeight="251662336" behindDoc="0" locked="0" layoutInCell="1" allowOverlap="1" wp14:anchorId="315F95BB" wp14:editId="3AFFF250">
          <wp:simplePos x="0" y="0"/>
          <wp:positionH relativeFrom="column">
            <wp:posOffset>5122440</wp:posOffset>
          </wp:positionH>
          <wp:positionV relativeFrom="paragraph">
            <wp:posOffset>79200</wp:posOffset>
          </wp:positionV>
          <wp:extent cx="1173960" cy="659160"/>
          <wp:effectExtent l="0" t="0" r="0" b="0"/>
          <wp:wrapSquare wrapText="bothSides"/>
          <wp:docPr id="806589271"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173960" cy="659160"/>
                  </a:xfrm>
                  <a:prstGeom prst="rect">
                    <a:avLst/>
                  </a:prstGeom>
                  <a:noFill/>
                </pic:spPr>
              </pic:pic>
            </a:graphicData>
          </a:graphic>
        </wp:anchor>
      </w:drawing>
    </w:r>
  </w:p>
  <w:p w14:paraId="6BD183B5" w14:textId="77777777" w:rsidR="00000000" w:rsidRDefault="00000000">
    <w:pPr>
      <w:pStyle w:val="Fuzeile"/>
    </w:pPr>
    <w:r>
      <w:rPr>
        <w:noProof/>
      </w:rPr>
      <w:drawing>
        <wp:anchor distT="0" distB="0" distL="114300" distR="114300" simplePos="0" relativeHeight="251661312" behindDoc="0" locked="0" layoutInCell="1" allowOverlap="1" wp14:anchorId="07FFB691" wp14:editId="780B816F">
          <wp:simplePos x="0" y="0"/>
          <wp:positionH relativeFrom="column">
            <wp:posOffset>3864600</wp:posOffset>
          </wp:positionH>
          <wp:positionV relativeFrom="paragraph">
            <wp:posOffset>9000</wp:posOffset>
          </wp:positionV>
          <wp:extent cx="1170360" cy="372240"/>
          <wp:effectExtent l="0" t="0" r="0" b="8760"/>
          <wp:wrapSquare wrapText="bothSides"/>
          <wp:docPr id="214094885"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1170360" cy="372240"/>
                  </a:xfrm>
                  <a:prstGeom prst="rect">
                    <a:avLst/>
                  </a:prstGeom>
                  <a:noFill/>
                </pic:spPr>
              </pic:pic>
            </a:graphicData>
          </a:graphic>
        </wp:anchor>
      </w:drawing>
    </w:r>
    <w:r>
      <w:rPr>
        <w:noProof/>
      </w:rPr>
      <w:drawing>
        <wp:anchor distT="0" distB="0" distL="114300" distR="114300" simplePos="0" relativeHeight="251663360" behindDoc="0" locked="0" layoutInCell="1" allowOverlap="1" wp14:anchorId="6C717855" wp14:editId="58223C34">
          <wp:simplePos x="0" y="0"/>
          <wp:positionH relativeFrom="column">
            <wp:posOffset>14760</wp:posOffset>
          </wp:positionH>
          <wp:positionV relativeFrom="paragraph">
            <wp:posOffset>42480</wp:posOffset>
          </wp:positionV>
          <wp:extent cx="803880" cy="285840"/>
          <wp:effectExtent l="19050" t="19050" r="15270" b="18960"/>
          <wp:wrapSquare wrapText="bothSides"/>
          <wp:docPr id="1110426362"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lum/>
                    <a:alphaModFix/>
                    <a:extLst>
                      <a:ext uri="{96DAC541-7B7A-43D3-8B79-37D633B846F1}">
                        <asvg:svgBlip xmlns:asvg="http://schemas.microsoft.com/office/drawing/2016/SVG/main" r:embed="rId4"/>
                      </a:ext>
                    </a:extLst>
                  </a:blip>
                  <a:srcRect/>
                  <a:stretch>
                    <a:fillRect/>
                  </a:stretch>
                </pic:blipFill>
                <pic:spPr>
                  <a:xfrm>
                    <a:off x="0" y="0"/>
                    <a:ext cx="803880" cy="285840"/>
                  </a:xfrm>
                  <a:prstGeom prst="rect">
                    <a:avLst/>
                  </a:prstGeom>
                  <a:noFill/>
                  <a:ln w="762">
                    <a:solidFill>
                      <a:srgbClr val="2A6099"/>
                    </a:solidFill>
                    <a:prstDash val="solid"/>
                  </a:ln>
                </pic:spPr>
              </pic:pic>
            </a:graphicData>
          </a:graphic>
        </wp:anchor>
      </w:drawing>
    </w:r>
    <w:r>
      <w:rPr>
        <w:color w:val="000000"/>
      </w:rPr>
      <w:fldChar w:fldCharType="begin"/>
    </w:r>
    <w:r>
      <w:rPr>
        <w:color w:val="000000"/>
      </w:rPr>
      <w:instrText xml:space="preserve"> PAGE </w:instrText>
    </w:r>
    <w:r>
      <w:rPr>
        <w:color w:val="000000"/>
      </w:rPr>
      <w:fldChar w:fldCharType="separate"/>
    </w:r>
    <w:r>
      <w:rPr>
        <w:color w:val="000000"/>
      </w:rPr>
      <w:t>4</w:t>
    </w:r>
    <w:r>
      <w:rPr>
        <w:color w:val="000000"/>
      </w:rPr>
      <w:fldChar w:fldCharType="end"/>
    </w:r>
    <w:r>
      <w:rPr>
        <w:color w:val="000000"/>
      </w:rPr>
      <w:t xml:space="preserve"> von </w:t>
    </w:r>
    <w:r>
      <w:rPr>
        <w:color w:val="000000"/>
      </w:rPr>
      <w:fldChar w:fldCharType="begin"/>
    </w:r>
    <w:r>
      <w:rPr>
        <w:color w:val="000000"/>
      </w:rPr>
      <w:instrText xml:space="preserve"> NUMPAGES </w:instrText>
    </w:r>
    <w:r>
      <w:rPr>
        <w:color w:val="000000"/>
      </w:rPr>
      <w:fldChar w:fldCharType="separate"/>
    </w:r>
    <w:r>
      <w:rPr>
        <w:color w:val="000000"/>
      </w:rPr>
      <w:t>4</w:t>
    </w:r>
    <w:r>
      <w:rPr>
        <w:color w:val="000000"/>
      </w:rPr>
      <w:fldChar w:fldCharType="end"/>
    </w:r>
  </w:p>
  <w:p w14:paraId="5FB6A652" w14:textId="77777777" w:rsidR="00000000" w:rsidRDefault="00000000">
    <w:pPr>
      <w:pStyle w:val="Fuzeile"/>
      <w:jc w:val="right"/>
    </w:pPr>
  </w:p>
  <w:p w14:paraId="7D178375" w14:textId="77777777" w:rsidR="00000000" w:rsidRDefault="00000000">
    <w:pPr>
      <w:pStyle w:val="Fuzeile"/>
      <w:jc w:val="right"/>
    </w:pPr>
  </w:p>
  <w:p w14:paraId="0A1B2062" w14:textId="77777777" w:rsidR="00000000" w:rsidRDefault="00000000">
    <w:pPr>
      <w:pStyle w:val="Fuzeile"/>
      <w:jc w:val="left"/>
    </w:pPr>
    <w:hyperlink r:id="rId5" w:history="1">
      <w:r>
        <w:rPr>
          <w:color w:val="000000"/>
        </w:rPr>
        <w:t>www.endlich-wachstum.de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D4450" w14:textId="77777777" w:rsidR="009E5757" w:rsidRDefault="009E5757">
      <w:pPr>
        <w:spacing w:line="240" w:lineRule="auto"/>
      </w:pPr>
      <w:r>
        <w:rPr>
          <w:color w:val="000000"/>
        </w:rPr>
        <w:separator/>
      </w:r>
    </w:p>
  </w:footnote>
  <w:footnote w:type="continuationSeparator" w:id="0">
    <w:p w14:paraId="4CF361F1" w14:textId="77777777" w:rsidR="009E5757" w:rsidRDefault="009E57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AF67" w14:textId="77777777" w:rsidR="00000000" w:rsidRDefault="00000000">
    <w:pPr>
      <w:pStyle w:val="AufgabeundKategorie"/>
    </w:pPr>
    <w:r>
      <w:rPr>
        <w:noProof/>
      </w:rPr>
      <mc:AlternateContent>
        <mc:Choice Requires="wps">
          <w:drawing>
            <wp:anchor distT="0" distB="0" distL="114300" distR="114300" simplePos="0" relativeHeight="251659264" behindDoc="0" locked="0" layoutInCell="1" allowOverlap="1" wp14:anchorId="755813F5" wp14:editId="4F0296CA">
              <wp:simplePos x="0" y="0"/>
              <wp:positionH relativeFrom="column">
                <wp:posOffset>3798720</wp:posOffset>
              </wp:positionH>
              <wp:positionV relativeFrom="paragraph">
                <wp:posOffset>52200</wp:posOffset>
              </wp:positionV>
              <wp:extent cx="1886400" cy="209160"/>
              <wp:effectExtent l="0" t="0" r="18600" b="390"/>
              <wp:wrapNone/>
              <wp:docPr id="1536958239" name="Text Frame 2"/>
              <wp:cNvGraphicFramePr/>
              <a:graphic xmlns:a="http://schemas.openxmlformats.org/drawingml/2006/main">
                <a:graphicData uri="http://schemas.microsoft.com/office/word/2010/wordprocessingShape">
                  <wps:wsp>
                    <wps:cNvSpPr txBox="1"/>
                    <wps:spPr>
                      <a:xfrm>
                        <a:off x="0" y="0"/>
                        <a:ext cx="1886400" cy="209160"/>
                      </a:xfrm>
                      <a:prstGeom prst="rect">
                        <a:avLst/>
                      </a:prstGeom>
                      <a:noFill/>
                      <a:ln>
                        <a:noFill/>
                      </a:ln>
                    </wps:spPr>
                    <wps:txbx>
                      <w:txbxContent>
                        <w:p w14:paraId="346C8350" w14:textId="77777777" w:rsidR="00000000" w:rsidRDefault="00000000">
                          <w:pPr>
                            <w:jc w:val="right"/>
                          </w:pPr>
                          <w:r>
                            <w:rPr>
                              <w:rFonts w:ascii="Unbounded" w:hAnsi="Unbounded"/>
                              <w:b/>
                              <w:bCs/>
                              <w:sz w:val="20"/>
                              <w:szCs w:val="20"/>
                            </w:rPr>
                            <w:t>ÖKOLOGIE</w:t>
                          </w:r>
                        </w:p>
                      </w:txbxContent>
                    </wps:txbx>
                    <wps:bodyPr vert="horz" wrap="none" lIns="0" tIns="0" rIns="0" bIns="0" compatLnSpc="0">
                      <a:noAutofit/>
                    </wps:bodyPr>
                  </wps:wsp>
                </a:graphicData>
              </a:graphic>
            </wp:anchor>
          </w:drawing>
        </mc:Choice>
        <mc:Fallback>
          <w:pict>
            <v:shapetype w14:anchorId="755813F5" id="_x0000_t202" coordsize="21600,21600" o:spt="202" path="m,l,21600r21600,l21600,xe">
              <v:stroke joinstyle="miter"/>
              <v:path gradientshapeok="t" o:connecttype="rect"/>
            </v:shapetype>
            <v:shape id="Text Frame 2" o:spid="_x0000_s1026" type="#_x0000_t202" style="position:absolute;margin-left:299.1pt;margin-top:4.1pt;width:148.55pt;height:16.4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" filled="f" stroked="f">
              <v:textbox inset="0,0,0,0">
                <w:txbxContent>
                  <w:p w14:paraId="346C8350" w14:textId="77777777" w:rsidR="00000000" w:rsidRDefault="00000000">
                    <w:pPr>
                      <w:jc w:val="right"/>
                    </w:pPr>
                    <w:r>
                      <w:rPr>
                        <w:rFonts w:ascii="Unbounded" w:hAnsi="Unbounded"/>
                        <w:b/>
                        <w:bCs/>
                        <w:sz w:val="20"/>
                        <w:szCs w:val="20"/>
                      </w:rPr>
                      <w:t>ÖKOLOGIE</w:t>
                    </w:r>
                  </w:p>
                </w:txbxContent>
              </v:textbox>
            </v:shape>
          </w:pict>
        </mc:Fallback>
      </mc:AlternateContent>
    </w:r>
    <w:r>
      <w:t>Glossar</w:t>
    </w:r>
  </w:p>
  <w:p w14:paraId="2ED8EF97" w14:textId="77777777" w:rsidR="00000000" w:rsidRDefault="00000000">
    <w:pPr>
      <w:pStyle w:val="TitelMethode"/>
    </w:pPr>
    <w:r>
      <w:t>Queer durch die Welt</w:t>
    </w:r>
  </w:p>
  <w:p w14:paraId="536C4048" w14:textId="77777777" w:rsidR="00000000" w:rsidRDefault="00000000">
    <w:pPr>
      <w:pStyle w:val="UntertitelMethode"/>
    </w:pPr>
    <w:r>
      <w:t>Ein Puzzle zu Klima- und Geschlechtergerechtigkeit</w:t>
    </w:r>
  </w:p>
  <w:p w14:paraId="7AEAEE7B" w14:textId="77777777" w:rsidR="00000000" w:rsidRDefault="00000000">
    <w:pPr>
      <w:pStyle w:val="UntertitelMethod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A1021"/>
    <w:multiLevelType w:val="multilevel"/>
    <w:tmpl w:val="0016CE02"/>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43920828"/>
    <w:multiLevelType w:val="multilevel"/>
    <w:tmpl w:val="5434C986"/>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A0F78C6"/>
    <w:multiLevelType w:val="multilevel"/>
    <w:tmpl w:val="08305616"/>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520E35BA"/>
    <w:multiLevelType w:val="multilevel"/>
    <w:tmpl w:val="D16CB794"/>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66051272"/>
    <w:multiLevelType w:val="multilevel"/>
    <w:tmpl w:val="B11E6306"/>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701A5BE5"/>
    <w:multiLevelType w:val="multilevel"/>
    <w:tmpl w:val="7430CCE8"/>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7B216BBB"/>
    <w:multiLevelType w:val="multilevel"/>
    <w:tmpl w:val="863C14FC"/>
    <w:lvl w:ilvl="0">
      <w:numFmt w:val="bullet"/>
      <w:lvlText w:val="•"/>
      <w:lvlJc w:val="left"/>
      <w:pPr>
        <w:ind w:left="720" w:hanging="283"/>
      </w:pPr>
      <w:rPr>
        <w:rFonts w:ascii="OpenSymbol" w:eastAsia="OpenSymbol" w:hAnsi="OpenSymbol" w:cs="Open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717508772">
    <w:abstractNumId w:val="0"/>
  </w:num>
  <w:num w:numId="2" w16cid:durableId="1761103980">
    <w:abstractNumId w:val="1"/>
  </w:num>
  <w:num w:numId="3" w16cid:durableId="475342314">
    <w:abstractNumId w:val="4"/>
  </w:num>
  <w:num w:numId="4" w16cid:durableId="797645987">
    <w:abstractNumId w:val="3"/>
  </w:num>
  <w:num w:numId="5" w16cid:durableId="1005205662">
    <w:abstractNumId w:val="6"/>
  </w:num>
  <w:num w:numId="6" w16cid:durableId="752556866">
    <w:abstractNumId w:val="5"/>
  </w:num>
  <w:num w:numId="7" w16cid:durableId="20354933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83905"/>
    <w:rsid w:val="00283905"/>
    <w:rsid w:val="003B4C15"/>
    <w:rsid w:val="004D3AAA"/>
    <w:rsid w:val="009E5095"/>
    <w:rsid w:val="009E57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837E0"/>
  <w15:docId w15:val="{C72C35DD-EB7D-4235-83D8-F00CA060F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3"/>
        <w:sz w:val="24"/>
        <w:szCs w:val="24"/>
        <w:lang w:val="de-DE"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76" w:lineRule="auto"/>
    </w:pPr>
    <w:rPr>
      <w:rFonts w:ascii="Atkinson Hyperlegible" w:eastAsia="Atkinson Hyperlegible" w:hAnsi="Atkinson Hyperlegible" w:cs="Atkinson Hyperlegible"/>
    </w:rPr>
  </w:style>
  <w:style w:type="paragraph" w:styleId="berschrift1">
    <w:name w:val="heading 1"/>
    <w:basedOn w:val="Heading"/>
    <w:next w:val="Textbody"/>
    <w:uiPriority w:val="9"/>
    <w:qFormat/>
    <w:pPr>
      <w:outlineLvl w:val="0"/>
    </w:pPr>
    <w:rPr>
      <w:rFonts w:ascii="Unbounded" w:eastAsia="Noto Serif CJK SC" w:hAnsi="Unbounded"/>
      <w:b/>
      <w:bCs/>
      <w:sz w:val="48"/>
      <w:szCs w:val="48"/>
    </w:rPr>
  </w:style>
  <w:style w:type="paragraph" w:styleId="berschrift2">
    <w:name w:val="heading 2"/>
    <w:basedOn w:val="Heading"/>
    <w:next w:val="Textbody"/>
    <w:uiPriority w:val="9"/>
    <w:semiHidden/>
    <w:unhideWhenUsed/>
    <w:qFormat/>
    <w:pPr>
      <w:spacing w:before="200"/>
      <w:outlineLvl w:val="1"/>
    </w:pPr>
    <w:rPr>
      <w:rFonts w:ascii="Unbounded" w:eastAsia="Unbounded" w:hAnsi="Unbounded" w:cs="Unbounded"/>
      <w:b/>
      <w:bCs/>
      <w:sz w:val="32"/>
      <w:szCs w:val="32"/>
    </w:rPr>
  </w:style>
  <w:style w:type="paragraph" w:styleId="berschrift3">
    <w:name w:val="heading 3"/>
    <w:basedOn w:val="Heading"/>
    <w:next w:val="Textbody"/>
    <w:uiPriority w:val="9"/>
    <w:semiHidden/>
    <w:unhideWhenUsed/>
    <w:qFormat/>
    <w:pPr>
      <w:spacing w:before="140"/>
      <w:outlineLvl w:val="2"/>
    </w:pPr>
    <w:rPr>
      <w:b/>
      <w:bCs/>
    </w:rPr>
  </w:style>
  <w:style w:type="paragraph" w:styleId="berschrift4">
    <w:name w:val="heading 4"/>
    <w:basedOn w:val="Heading"/>
    <w:next w:val="Textbody"/>
    <w:uiPriority w:val="9"/>
    <w:semiHidden/>
    <w:unhideWhenUsed/>
    <w:qFormat/>
    <w:pPr>
      <w:spacing w:before="120"/>
      <w:outlineLvl w:val="3"/>
    </w:pPr>
    <w:rPr>
      <w:b/>
      <w:bCs/>
      <w:i/>
      <w:iCs/>
      <w:sz w:val="26"/>
      <w:szCs w:val="26"/>
    </w:rPr>
  </w:style>
  <w:style w:type="paragraph" w:styleId="berschrift5">
    <w:name w:val="heading 5"/>
    <w:basedOn w:val="Heading"/>
    <w:next w:val="Textbody"/>
    <w:uiPriority w:val="9"/>
    <w:semiHidden/>
    <w:unhideWhenUsed/>
    <w:qFormat/>
    <w:pPr>
      <w:spacing w:before="120" w:after="60"/>
      <w:outlineLvl w:val="4"/>
    </w:pPr>
    <w:rPr>
      <w:b/>
      <w:bCs/>
      <w:sz w:val="24"/>
      <w:szCs w:val="24"/>
    </w:rPr>
  </w:style>
  <w:style w:type="paragraph" w:styleId="berschrift6">
    <w:name w:val="heading 6"/>
    <w:basedOn w:val="Heading"/>
    <w:next w:val="Textbody"/>
    <w:uiPriority w:val="9"/>
    <w:semiHidden/>
    <w:unhideWhenUsed/>
    <w:qFormat/>
    <w:pPr>
      <w:spacing w:before="60" w:after="60"/>
      <w:outlineLvl w:val="5"/>
    </w:pPr>
    <w:rPr>
      <w:b/>
      <w:bCs/>
      <w:i/>
      <w:iCs/>
      <w:sz w:val="24"/>
      <w:szCs w:val="24"/>
    </w:rPr>
  </w:style>
  <w:style w:type="paragraph" w:styleId="berschrift7">
    <w:name w:val="heading 7"/>
    <w:basedOn w:val="Heading"/>
    <w:next w:val="Textbody"/>
    <w:pPr>
      <w:spacing w:before="60" w:after="60"/>
      <w:outlineLvl w:val="6"/>
    </w:pPr>
    <w:rPr>
      <w:rFonts w:ascii="Unbounded" w:eastAsia="Unbounded" w:hAnsi="Unbounded" w:cs="Unbounded"/>
      <w:b/>
      <w:bCs/>
      <w:sz w:val="24"/>
      <w:szCs w:val="20"/>
    </w:rPr>
  </w:style>
  <w:style w:type="paragraph" w:styleId="berschrift8">
    <w:name w:val="heading 8"/>
    <w:basedOn w:val="Heading"/>
    <w:next w:val="Textbody"/>
    <w:pPr>
      <w:spacing w:before="60" w:after="60"/>
      <w:outlineLvl w:val="7"/>
    </w:pPr>
    <w:rPr>
      <w:b/>
      <w:bCs/>
      <w:i/>
      <w:iCs/>
      <w:sz w:val="20"/>
      <w:szCs w:val="20"/>
    </w:rPr>
  </w:style>
  <w:style w:type="paragraph" w:styleId="berschrift9">
    <w:name w:val="heading 9"/>
    <w:basedOn w:val="Heading"/>
    <w:next w:val="Textbody"/>
    <w:pPr>
      <w:spacing w:before="60" w:after="60"/>
      <w:outlineLvl w:val="8"/>
    </w:pPr>
    <w:rPr>
      <w:rFonts w:ascii="Atkinson Hyperlegible" w:eastAsia="Atkinson Hyperlegible" w:hAnsi="Atkinson Hyperlegible" w:cs="Atkinson Hyperlegible"/>
      <w:b/>
      <w:bCs/>
      <w:sz w:val="24"/>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spacing w:after="140"/>
    </w:pPr>
  </w:style>
  <w:style w:type="paragraph" w:styleId="Liste">
    <w:name w:val="List"/>
    <w:basedOn w:val="Textbody"/>
    <w:rPr>
      <w:rFonts w:cs="Lohit Devanagari"/>
    </w:rPr>
  </w:style>
  <w:style w:type="paragraph" w:styleId="Beschriftung">
    <w:name w:val="caption"/>
    <w:basedOn w:val="Standard"/>
    <w:pPr>
      <w:suppressLineNumbers/>
      <w:spacing w:before="120" w:after="120"/>
    </w:pPr>
    <w:rPr>
      <w:rFonts w:cs="Lohit Devanagari"/>
      <w:i/>
      <w:iCs/>
    </w:rPr>
  </w:style>
  <w:style w:type="paragraph" w:customStyle="1" w:styleId="Index">
    <w:name w:val="Index"/>
    <w:basedOn w:val="Standard"/>
    <w:pPr>
      <w:suppressLineNumbers/>
    </w:pPr>
    <w:rPr>
      <w:rFonts w:cs="Lohit Devanagari"/>
    </w:rPr>
  </w:style>
  <w:style w:type="paragraph" w:customStyle="1" w:styleId="HeaderandFooter">
    <w:name w:val="Header and Footer"/>
    <w:basedOn w:val="Standard"/>
    <w:pPr>
      <w:suppressLineNumbers/>
      <w:tabs>
        <w:tab w:val="center" w:pos="4819"/>
        <w:tab w:val="right" w:pos="9638"/>
      </w:tabs>
    </w:pPr>
  </w:style>
  <w:style w:type="paragraph" w:styleId="Kopfzeile">
    <w:name w:val="header"/>
    <w:basedOn w:val="HeaderandFooter"/>
  </w:style>
  <w:style w:type="paragraph" w:styleId="Fuzeile">
    <w:name w:val="footer"/>
    <w:basedOn w:val="HeaderandFooter"/>
    <w:pPr>
      <w:jc w:val="center"/>
    </w:pPr>
    <w:rPr>
      <w:rFonts w:ascii="Unbounded" w:eastAsia="Unbounded" w:hAnsi="Unbounded" w:cs="Unbounded"/>
      <w:sz w:val="16"/>
    </w:rPr>
  </w:style>
  <w:style w:type="paragraph" w:customStyle="1" w:styleId="ListContents">
    <w:name w:val="List Contents"/>
    <w:basedOn w:val="Standard"/>
    <w:autoRedefine/>
    <w:pPr>
      <w:ind w:left="567" w:right="567"/>
    </w:pPr>
    <w:rPr>
      <w:sz w:val="20"/>
    </w:rPr>
  </w:style>
  <w:style w:type="paragraph" w:customStyle="1" w:styleId="Firstlineindent">
    <w:name w:val="First line indent"/>
    <w:basedOn w:val="Textbody"/>
    <w:pPr>
      <w:ind w:firstLine="283"/>
    </w:pPr>
  </w:style>
  <w:style w:type="paragraph" w:customStyle="1" w:styleId="Hangingindent">
    <w:name w:val="Hanging indent"/>
    <w:basedOn w:val="Textbody"/>
    <w:pPr>
      <w:tabs>
        <w:tab w:val="left" w:pos="567"/>
      </w:tabs>
      <w:ind w:left="567" w:hanging="283"/>
    </w:pPr>
  </w:style>
  <w:style w:type="paragraph" w:customStyle="1" w:styleId="ListIndent">
    <w:name w:val="List Indent"/>
    <w:basedOn w:val="Textbody"/>
    <w:pPr>
      <w:tabs>
        <w:tab w:val="left" w:pos="2835"/>
      </w:tabs>
      <w:ind w:left="2835" w:hanging="2551"/>
    </w:pPr>
  </w:style>
  <w:style w:type="paragraph" w:customStyle="1" w:styleId="Headerleft">
    <w:name w:val="Header left"/>
    <w:basedOn w:val="Kopfzeile"/>
  </w:style>
  <w:style w:type="paragraph" w:customStyle="1" w:styleId="AufgabeundKategorie">
    <w:name w:val="Aufgabe und Kategorie"/>
    <w:basedOn w:val="Kopfzeile"/>
    <w:rPr>
      <w:rFonts w:ascii="Unbounded" w:eastAsia="Unbounded" w:hAnsi="Unbounded" w:cs="Unbounded"/>
      <w:b/>
      <w:sz w:val="20"/>
    </w:rPr>
  </w:style>
  <w:style w:type="paragraph" w:customStyle="1" w:styleId="TitelMethode">
    <w:name w:val="Titel Methode"/>
    <w:basedOn w:val="Kopfzeile"/>
    <w:rPr>
      <w:rFonts w:ascii="Unbounded" w:eastAsia="Unbounded" w:hAnsi="Unbounded" w:cs="Unbounded"/>
      <w:sz w:val="30"/>
    </w:rPr>
  </w:style>
  <w:style w:type="paragraph" w:customStyle="1" w:styleId="UntertitelMethode">
    <w:name w:val="Untertitel Methode"/>
    <w:basedOn w:val="Kopfzeile"/>
    <w:rPr>
      <w:rFonts w:ascii="Unbounded" w:eastAsia="Unbounded" w:hAnsi="Unbounded" w:cs="Unbounded"/>
      <w:sz w:val="16"/>
    </w:rPr>
  </w:style>
  <w:style w:type="paragraph" w:customStyle="1" w:styleId="Addressee">
    <w:name w:val="Addressee"/>
    <w:basedOn w:val="Standard"/>
    <w:pPr>
      <w:suppressLineNumbers/>
      <w:spacing w:after="60"/>
    </w:pPr>
  </w:style>
  <w:style w:type="paragraph" w:styleId="Anrede">
    <w:name w:val="Salutation"/>
    <w:basedOn w:val="Standard"/>
    <w:pPr>
      <w:suppressLineNumbers/>
    </w:pPr>
  </w:style>
  <w:style w:type="paragraph" w:customStyle="1" w:styleId="Endnote">
    <w:name w:val="Endnote"/>
    <w:basedOn w:val="Standard"/>
    <w:pPr>
      <w:suppressLineNumbers/>
      <w:ind w:left="340" w:hanging="340"/>
    </w:pPr>
    <w:rPr>
      <w:sz w:val="20"/>
      <w:szCs w:val="20"/>
    </w:rPr>
  </w:style>
  <w:style w:type="paragraph" w:customStyle="1" w:styleId="Footnote">
    <w:name w:val="Footnote"/>
    <w:basedOn w:val="Standard"/>
    <w:pPr>
      <w:suppressLineNumbers/>
      <w:ind w:left="340" w:hanging="340"/>
    </w:pPr>
    <w:rPr>
      <w:sz w:val="20"/>
      <w:szCs w:val="20"/>
    </w:rPr>
  </w:style>
  <w:style w:type="paragraph" w:customStyle="1" w:styleId="Framecontents">
    <w:name w:val="Frame contents"/>
    <w:basedOn w:val="Standard"/>
  </w:style>
  <w:style w:type="paragraph" w:customStyle="1" w:styleId="Headerright">
    <w:name w:val="Header right"/>
    <w:basedOn w:val="Kopfzeile"/>
    <w:pPr>
      <w:jc w:val="right"/>
    </w:pPr>
  </w:style>
  <w:style w:type="paragraph" w:customStyle="1" w:styleId="Footerleft">
    <w:name w:val="Footer left"/>
    <w:basedOn w:val="Fuzeile"/>
  </w:style>
  <w:style w:type="paragraph" w:customStyle="1" w:styleId="Footerright">
    <w:name w:val="Footer right"/>
    <w:basedOn w:val="Fuzeile"/>
    <w:pPr>
      <w:jc w:val="right"/>
    </w:pPr>
  </w:style>
  <w:style w:type="paragraph" w:customStyle="1" w:styleId="Appendix">
    <w:name w:val="Appendix"/>
    <w:basedOn w:val="Heading"/>
    <w:next w:val="Textbody"/>
    <w:pPr>
      <w:jc w:val="center"/>
    </w:pPr>
    <w:rPr>
      <w:b/>
      <w:bCs/>
      <w:sz w:val="32"/>
      <w:szCs w:val="32"/>
    </w:rPr>
  </w:style>
  <w:style w:type="paragraph" w:customStyle="1" w:styleId="Heading10">
    <w:name w:val="Heading 10"/>
    <w:basedOn w:val="Heading"/>
    <w:next w:val="Textbody"/>
    <w:pPr>
      <w:spacing w:before="60" w:after="60"/>
    </w:pPr>
    <w:rPr>
      <w:rFonts w:ascii="Unbounded" w:eastAsia="Unbounded" w:hAnsi="Unbounded" w:cs="Unbounded"/>
      <w:b/>
      <w:bCs/>
      <w:sz w:val="18"/>
      <w:szCs w:val="18"/>
    </w:rPr>
  </w:style>
  <w:style w:type="paragraph" w:styleId="Indexberschrift">
    <w:name w:val="index heading"/>
    <w:basedOn w:val="Heading"/>
    <w:pPr>
      <w:suppressLineNumbers/>
    </w:pPr>
    <w:rPr>
      <w:b/>
      <w:bCs/>
      <w:sz w:val="32"/>
      <w:szCs w:val="32"/>
    </w:rPr>
  </w:style>
  <w:style w:type="paragraph" w:customStyle="1" w:styleId="Marginalia">
    <w:name w:val="Marginalia"/>
    <w:basedOn w:val="Textbody"/>
    <w:pPr>
      <w:ind w:left="2268"/>
    </w:pPr>
  </w:style>
  <w:style w:type="paragraph" w:customStyle="1" w:styleId="Textbodyindent">
    <w:name w:val="Text body indent"/>
    <w:basedOn w:val="Textbody"/>
    <w:pPr>
      <w:ind w:left="283"/>
    </w:pPr>
  </w:style>
  <w:style w:type="paragraph" w:customStyle="1" w:styleId="BibliographyHeading">
    <w:name w:val="Bibliography Heading"/>
    <w:basedOn w:val="Indexberschrift"/>
  </w:style>
  <w:style w:type="paragraph" w:customStyle="1" w:styleId="ContentsHeading">
    <w:name w:val="Contents Heading"/>
    <w:basedOn w:val="Indexberschrift"/>
  </w:style>
  <w:style w:type="paragraph" w:customStyle="1" w:styleId="Drawing">
    <w:name w:val="Drawing"/>
    <w:basedOn w:val="Beschriftung"/>
  </w:style>
  <w:style w:type="paragraph" w:customStyle="1" w:styleId="Figure">
    <w:name w:val="Figure"/>
    <w:basedOn w:val="Beschriftung"/>
  </w:style>
  <w:style w:type="paragraph" w:customStyle="1" w:styleId="FigureIndexHeading">
    <w:name w:val="Figure Index Heading"/>
    <w:basedOn w:val="Indexberschrift"/>
  </w:style>
  <w:style w:type="paragraph" w:customStyle="1" w:styleId="Illustration">
    <w:name w:val="Illustration"/>
    <w:basedOn w:val="Beschriftung"/>
  </w:style>
  <w:style w:type="paragraph" w:customStyle="1" w:styleId="TableContents">
    <w:name w:val="Table Contents"/>
    <w:basedOn w:val="Standard"/>
    <w:pPr>
      <w:widowControl w:val="0"/>
      <w:suppressLineNumbers/>
    </w:pPr>
  </w:style>
  <w:style w:type="paragraph" w:styleId="Unterschrift">
    <w:name w:val="Signature"/>
    <w:basedOn w:val="Standard"/>
    <w:pPr>
      <w:suppressLineNumbers/>
    </w:pPr>
  </w:style>
  <w:style w:type="paragraph" w:customStyle="1" w:styleId="Sender">
    <w:name w:val="Sender"/>
    <w:basedOn w:val="Standard"/>
    <w:pPr>
      <w:suppressLineNumbers/>
      <w:spacing w:after="60"/>
    </w:pPr>
  </w:style>
  <w:style w:type="paragraph" w:customStyle="1" w:styleId="Quotations">
    <w:name w:val="Quotations"/>
    <w:basedOn w:val="Standard"/>
    <w:pPr>
      <w:spacing w:after="283"/>
      <w:ind w:left="567" w:right="567"/>
    </w:pPr>
  </w:style>
  <w:style w:type="paragraph" w:customStyle="1" w:styleId="PreformattedText">
    <w:name w:val="Preformatted Text"/>
    <w:basedOn w:val="Standard"/>
    <w:rPr>
      <w:rFonts w:ascii="Liberation Mono" w:eastAsia="Liberation Mono" w:hAnsi="Liberation Mono" w:cs="Liberation Mono"/>
      <w:sz w:val="20"/>
      <w:szCs w:val="20"/>
    </w:rPr>
  </w:style>
  <w:style w:type="paragraph" w:customStyle="1" w:styleId="ListHeading">
    <w:name w:val="List Heading"/>
    <w:basedOn w:val="Standard"/>
    <w:next w:val="ListContents"/>
  </w:style>
  <w:style w:type="paragraph" w:customStyle="1" w:styleId="HorizontalLine">
    <w:name w:val="Horizontal Line"/>
    <w:basedOn w:val="Standard"/>
    <w:next w:val="Textbody"/>
    <w:pPr>
      <w:suppressLineNumbers/>
      <w:spacing w:after="283"/>
    </w:pPr>
    <w:rPr>
      <w:sz w:val="12"/>
      <w:szCs w:val="12"/>
    </w:rPr>
  </w:style>
  <w:style w:type="paragraph" w:styleId="Untertitel">
    <w:name w:val="Subtitle"/>
    <w:basedOn w:val="Heading"/>
    <w:next w:val="Textbody"/>
    <w:uiPriority w:val="11"/>
    <w:qFormat/>
    <w:pPr>
      <w:spacing w:before="60"/>
      <w:jc w:val="center"/>
    </w:pPr>
    <w:rPr>
      <w:sz w:val="36"/>
      <w:szCs w:val="36"/>
    </w:rPr>
  </w:style>
  <w:style w:type="paragraph" w:styleId="Titel">
    <w:name w:val="Title"/>
    <w:basedOn w:val="Heading"/>
    <w:next w:val="Textbody"/>
    <w:uiPriority w:val="10"/>
    <w:qFormat/>
    <w:pPr>
      <w:jc w:val="center"/>
    </w:pPr>
    <w:rPr>
      <w:b/>
      <w:bCs/>
      <w:sz w:val="56"/>
      <w:szCs w:val="56"/>
    </w:rPr>
  </w:style>
  <w:style w:type="paragraph" w:customStyle="1" w:styleId="Quellen">
    <w:name w:val="Quellen"/>
    <w:basedOn w:val="Textbody"/>
    <w:pPr>
      <w:tabs>
        <w:tab w:val="left" w:pos="567"/>
      </w:tabs>
    </w:pPr>
    <w:rPr>
      <w:sz w:val="16"/>
    </w:rPr>
  </w:style>
  <w:style w:type="character" w:customStyle="1" w:styleId="BulletSymbols">
    <w:name w:val="Bullet Symbols"/>
    <w:rPr>
      <w:rFonts w:ascii="OpenSymbol" w:eastAsia="OpenSymbol" w:hAnsi="OpenSymbol" w:cs="OpenSymbol"/>
    </w:rPr>
  </w:style>
  <w:style w:type="character" w:customStyle="1" w:styleId="Internetlink">
    <w:name w:val="Internet link"/>
    <w:rPr>
      <w:color w:val="000080"/>
      <w:u w:val="single"/>
    </w:rPr>
  </w:style>
  <w:style w:type="character" w:customStyle="1" w:styleId="VisitedInternetLink">
    <w:name w:val="Visited Internet Link"/>
    <w:rPr>
      <w:color w:val="800000"/>
      <w:u w:val="single"/>
      <w:lang/>
    </w:rPr>
  </w:style>
  <w:style w:type="character" w:customStyle="1" w:styleId="Linenumbering">
    <w:name w:val="Line numbering"/>
  </w:style>
  <w:style w:type="character" w:customStyle="1" w:styleId="StrongEmphasis">
    <w:name w:val="Strong Emphasis"/>
    <w:rPr>
      <w:b/>
      <w:bCs/>
    </w:rPr>
  </w:style>
  <w:style w:type="character" w:styleId="Hervorhebung">
    <w:name w:val="Emphasis"/>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konzeptwerk-neue-oekonomie.org/wp-content/uploads/2022/09/Glossar_GlobalesLernen_Deutsch_digit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endlich-wachstum.de/" TargetMode="External"/><Relationship Id="rId4" Type="http://schemas.openxmlformats.org/officeDocument/2006/relationships/image" Target="media/image4.sv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5318</Characters>
  <Application>Microsoft Office Word</Application>
  <DocSecurity>0</DocSecurity>
  <Lines>44</Lines>
  <Paragraphs>12</Paragraphs>
  <ScaleCrop>false</ScaleCrop>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Katharina Ehrke</cp:lastModifiedBy>
  <cp:revision>2</cp:revision>
  <dcterms:created xsi:type="dcterms:W3CDTF">2025-09-29T14:10:00Z</dcterms:created>
  <dcterms:modified xsi:type="dcterms:W3CDTF">2025-09-29T14:10:00Z</dcterms:modified>
</cp:coreProperties>
</file>