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Layout w:type="fixed"/>
        <w:tblCellMar>
          <w:left w:w="10" w:type="dxa"/>
          <w:right w:w="10" w:type="dxa"/>
        </w:tblCellMar>
        <w:tblLook w:val="04A0" w:firstRow="1" w:lastRow="0" w:firstColumn="1" w:lastColumn="0" w:noHBand="0" w:noVBand="1"/>
      </w:tblPr>
      <w:tblGrid>
        <w:gridCol w:w="9638"/>
      </w:tblGrid>
      <w:tr w:rsidR="009F3EF5" w14:paraId="235BCC08"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C54916D" w14:textId="77777777" w:rsidR="009F3EF5" w:rsidRDefault="00000000">
            <w:pPr>
              <w:pStyle w:val="Textbody"/>
            </w:pPr>
            <w:r>
              <w:rPr>
                <w:sz w:val="26"/>
                <w:szCs w:val="26"/>
              </w:rPr>
              <w:t xml:space="preserve">Info: Menschen aus der </w:t>
            </w:r>
            <w:r>
              <w:rPr>
                <w:rStyle w:val="StrongEmphasis"/>
                <w:sz w:val="26"/>
                <w:szCs w:val="26"/>
              </w:rPr>
              <w:t>LGBTQIA</w:t>
            </w:r>
            <w:r>
              <w:rPr>
                <w:sz w:val="26"/>
                <w:szCs w:val="26"/>
              </w:rPr>
              <w:t>* Community haben oft Schwierigkeiten, Zugang zu Notunterkünften zu bekommen, wenn ihre Geschlechtsidentität nicht mit den Regeln der Unterkünfte übereinstimmt. In diesen Unterkünften erleben sie häufig Diskriminierung und Gewalt.</w:t>
            </w:r>
          </w:p>
        </w:tc>
      </w:tr>
      <w:tr w:rsidR="009F3EF5" w14:paraId="3C06BAC2"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3AF02AF" w14:textId="77777777" w:rsidR="009F3EF5" w:rsidRDefault="00000000">
            <w:pPr>
              <w:pStyle w:val="Textbody"/>
            </w:pPr>
            <w:r>
              <w:rPr>
                <w:rStyle w:val="StrongEmphasis"/>
                <w:b w:val="0"/>
                <w:bCs w:val="0"/>
                <w:sz w:val="26"/>
                <w:szCs w:val="26"/>
              </w:rPr>
              <w:t xml:space="preserve">Info: </w:t>
            </w:r>
            <w:r>
              <w:rPr>
                <w:rStyle w:val="StrongEmphasis"/>
                <w:sz w:val="26"/>
                <w:szCs w:val="26"/>
              </w:rPr>
              <w:t>LGBTQIA</w:t>
            </w:r>
            <w:r>
              <w:rPr>
                <w:sz w:val="26"/>
                <w:szCs w:val="26"/>
              </w:rPr>
              <w:t>* Personen und Maßnahmen zur Förderung von Vielfalt, Gleichberechtigung und Inklusion (</w:t>
            </w:r>
            <w:proofErr w:type="spellStart"/>
            <w:r>
              <w:rPr>
                <w:sz w:val="26"/>
                <w:szCs w:val="26"/>
              </w:rPr>
              <w:t>Diversity</w:t>
            </w:r>
            <w:proofErr w:type="spellEnd"/>
            <w:r>
              <w:rPr>
                <w:sz w:val="26"/>
                <w:szCs w:val="26"/>
              </w:rPr>
              <w:t xml:space="preserve">, </w:t>
            </w:r>
            <w:proofErr w:type="spellStart"/>
            <w:r>
              <w:rPr>
                <w:sz w:val="26"/>
                <w:szCs w:val="26"/>
              </w:rPr>
              <w:t>Equality</w:t>
            </w:r>
            <w:proofErr w:type="spellEnd"/>
            <w:r>
              <w:rPr>
                <w:sz w:val="26"/>
                <w:szCs w:val="26"/>
              </w:rPr>
              <w:t xml:space="preserve"> and </w:t>
            </w:r>
            <w:proofErr w:type="spellStart"/>
            <w:r>
              <w:rPr>
                <w:sz w:val="26"/>
                <w:szCs w:val="26"/>
              </w:rPr>
              <w:t>Inclusion</w:t>
            </w:r>
            <w:proofErr w:type="spellEnd"/>
            <w:r>
              <w:rPr>
                <w:sz w:val="26"/>
                <w:szCs w:val="26"/>
              </w:rPr>
              <w:t>; DEI) werden oft für Naturkatastrophen und deren Folgen verantwortlich gemacht. Dies führt zu weiterer Diskriminierung und manchmal auch zu Gewalt.</w:t>
            </w:r>
          </w:p>
        </w:tc>
      </w:tr>
      <w:tr w:rsidR="009F3EF5" w14:paraId="0E6C1854"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9376D61" w14:textId="77777777" w:rsidR="009F3EF5" w:rsidRDefault="00000000">
            <w:pPr>
              <w:pStyle w:val="Textbody"/>
            </w:pPr>
            <w:r>
              <w:rPr>
                <w:sz w:val="26"/>
                <w:szCs w:val="26"/>
              </w:rPr>
              <w:t xml:space="preserve">Info: Viele </w:t>
            </w:r>
            <w:r>
              <w:rPr>
                <w:rStyle w:val="StrongEmphasis"/>
                <w:sz w:val="26"/>
                <w:szCs w:val="26"/>
              </w:rPr>
              <w:t>LGBTQIA</w:t>
            </w:r>
            <w:r>
              <w:rPr>
                <w:sz w:val="26"/>
                <w:szCs w:val="26"/>
              </w:rPr>
              <w:t xml:space="preserve">* Jugendliche, insbesondere </w:t>
            </w:r>
            <w:r>
              <w:rPr>
                <w:rStyle w:val="StrongEmphasis"/>
                <w:sz w:val="26"/>
                <w:szCs w:val="26"/>
              </w:rPr>
              <w:t>BI*PoC</w:t>
            </w:r>
            <w:r>
              <w:rPr>
                <w:sz w:val="26"/>
                <w:szCs w:val="26"/>
              </w:rPr>
              <w:t xml:space="preserve"> oder solche aus einkommensschwachen Familien, verlieren ihr Zuhause, weil ihre Familien sie ablehnen. In den USA sind 40 % der obdachlosen Jugendlichen </w:t>
            </w:r>
            <w:r>
              <w:rPr>
                <w:rStyle w:val="StrongEmphasis"/>
                <w:sz w:val="26"/>
                <w:szCs w:val="26"/>
              </w:rPr>
              <w:t>LGBTQIA</w:t>
            </w:r>
            <w:r>
              <w:rPr>
                <w:sz w:val="26"/>
                <w:szCs w:val="26"/>
              </w:rPr>
              <w:t>*, obwohl sie nur 7 % der Gesamtbevölkerung ausmachen. Ohne ein sicheres Zuhause sind sie besonders anfällig für Klimakrisen wie Stürme oder Überschwemmungen, die die Schwächsten am härtesten treffen.</w:t>
            </w:r>
          </w:p>
        </w:tc>
      </w:tr>
      <w:tr w:rsidR="009F3EF5" w14:paraId="3E562D5B"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3EE0C2E" w14:textId="77777777" w:rsidR="009F3EF5" w:rsidRDefault="00000000">
            <w:pPr>
              <w:pStyle w:val="TableContents"/>
              <w:rPr>
                <w:rFonts w:eastAsia="Noto Sans CJK SC" w:cs="Lohit Devanagari"/>
                <w:sz w:val="28"/>
                <w:szCs w:val="28"/>
              </w:rPr>
            </w:pPr>
            <w:r>
              <w:rPr>
                <w:rFonts w:eastAsia="Noto Sans CJK SC" w:cs="Lohit Devanagari"/>
                <w:sz w:val="26"/>
                <w:szCs w:val="26"/>
              </w:rPr>
              <w:t xml:space="preserve">Info: </w:t>
            </w:r>
            <w:r>
              <w:rPr>
                <w:rStyle w:val="StrongEmphasis"/>
                <w:sz w:val="26"/>
                <w:szCs w:val="26"/>
              </w:rPr>
              <w:t>LGBTQIA</w:t>
            </w:r>
            <w:r>
              <w:rPr>
                <w:rFonts w:eastAsia="Noto Sans CJK SC" w:cs="Lohit Devanagari"/>
                <w:sz w:val="26"/>
                <w:szCs w:val="26"/>
              </w:rPr>
              <w:t>* Gemeinschaften müssen sich bei Katastrophen oft selbst helfen, da offizielle Hilfsprogramme ihre spezifischen Bedürfnisse nicht berücksichtigen.</w:t>
            </w:r>
          </w:p>
        </w:tc>
      </w:tr>
      <w:tr w:rsidR="009F3EF5" w14:paraId="08465124"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B16E470" w14:textId="77777777" w:rsidR="009F3EF5" w:rsidRDefault="00000000">
            <w:pPr>
              <w:pStyle w:val="TableContents"/>
              <w:rPr>
                <w:rFonts w:eastAsia="Noto Sans CJK SC" w:cs="Lohit Devanagari"/>
                <w:sz w:val="28"/>
                <w:szCs w:val="28"/>
              </w:rPr>
            </w:pPr>
            <w:r>
              <w:rPr>
                <w:rFonts w:eastAsia="Noto Sans CJK SC" w:cs="Lohit Devanagari"/>
                <w:sz w:val="26"/>
                <w:szCs w:val="26"/>
              </w:rPr>
              <w:t xml:space="preserve">Info: Klimapolitiken erkennen zunehmend Unterschiede zwischen Geschlechtern an. Der Fokus liegt jedoch oft nur auf Frauen und Mädchen, während </w:t>
            </w:r>
            <w:r>
              <w:rPr>
                <w:rStyle w:val="StrongEmphasis"/>
                <w:sz w:val="26"/>
                <w:szCs w:val="26"/>
              </w:rPr>
              <w:t>LGBTQIA</w:t>
            </w:r>
            <w:r>
              <w:rPr>
                <w:rFonts w:eastAsia="Noto Sans CJK SC" w:cs="Lohit Devanagari"/>
                <w:sz w:val="26"/>
                <w:szCs w:val="26"/>
              </w:rPr>
              <w:t>* Personen weiterhin ausgeschlossen werden.</w:t>
            </w:r>
          </w:p>
        </w:tc>
      </w:tr>
      <w:tr w:rsidR="009F3EF5" w14:paraId="23ABAF0F"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CA38B40" w14:textId="77777777" w:rsidR="009F3EF5" w:rsidRDefault="00000000">
            <w:pPr>
              <w:pStyle w:val="TableContents"/>
              <w:rPr>
                <w:rFonts w:eastAsia="Noto Sans CJK SC" w:cs="Lohit Devanagari"/>
                <w:sz w:val="28"/>
                <w:szCs w:val="28"/>
              </w:rPr>
            </w:pPr>
            <w:r>
              <w:rPr>
                <w:rFonts w:eastAsia="Noto Sans CJK SC" w:cs="Lohit Devanagari"/>
                <w:sz w:val="26"/>
                <w:szCs w:val="26"/>
              </w:rPr>
              <w:t xml:space="preserve">Info: Menschen, die bereits Diskriminierung erfahren, sind bei Hitzewellen, Dürren und Überschwemmungen oft am stärksten betroffen. Dazu gehört auch die </w:t>
            </w:r>
            <w:r>
              <w:rPr>
                <w:rStyle w:val="StrongEmphasis"/>
                <w:sz w:val="26"/>
                <w:szCs w:val="26"/>
              </w:rPr>
              <w:t>LGBTQIA</w:t>
            </w:r>
            <w:r>
              <w:rPr>
                <w:rFonts w:eastAsia="Noto Sans CJK SC" w:cs="Lohit Devanagari"/>
                <w:sz w:val="26"/>
                <w:szCs w:val="26"/>
              </w:rPr>
              <w:t xml:space="preserve">* Community. Viele queere und </w:t>
            </w:r>
            <w:r>
              <w:rPr>
                <w:rStyle w:val="StrongEmphasis"/>
                <w:sz w:val="26"/>
                <w:szCs w:val="26"/>
              </w:rPr>
              <w:t>trans</w:t>
            </w:r>
            <w:r>
              <w:rPr>
                <w:rFonts w:eastAsia="Noto Sans CJK SC" w:cs="Lohit Devanagari"/>
                <w:sz w:val="26"/>
                <w:szCs w:val="26"/>
              </w:rPr>
              <w:t>* Personen engagieren sich deshalb als Aktivist*innen und stehen oft an der Spitze der Bewegungen für Klimagerechtigkeit.</w:t>
            </w:r>
          </w:p>
          <w:p w14:paraId="7921E06D" w14:textId="77777777" w:rsidR="009F3EF5" w:rsidRDefault="009F3EF5">
            <w:pPr>
              <w:pStyle w:val="TableContents"/>
              <w:rPr>
                <w:rFonts w:eastAsia="Noto Sans CJK SC" w:cs="Lohit Devanagari"/>
                <w:sz w:val="26"/>
                <w:szCs w:val="26"/>
              </w:rPr>
            </w:pPr>
          </w:p>
        </w:tc>
      </w:tr>
      <w:tr w:rsidR="009F3EF5" w14:paraId="7D13498A"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C6796DD" w14:textId="77777777" w:rsidR="009F3EF5" w:rsidRDefault="00000000">
            <w:pPr>
              <w:pStyle w:val="Textbody"/>
            </w:pPr>
            <w:r>
              <w:rPr>
                <w:sz w:val="26"/>
                <w:szCs w:val="26"/>
              </w:rPr>
              <w:t xml:space="preserve">Info: Die britische Kolonialherrschaft unterdrückte und kriminalisierte vielfältige Geschlechtsidentitäten in Indien. Diese Auswirkungen sind bis heute spürbar. Die </w:t>
            </w:r>
            <w:r>
              <w:rPr>
                <w:b/>
                <w:bCs/>
                <w:sz w:val="26"/>
                <w:szCs w:val="26"/>
              </w:rPr>
              <w:t>gender-</w:t>
            </w:r>
            <w:proofErr w:type="spellStart"/>
            <w:r>
              <w:rPr>
                <w:b/>
                <w:bCs/>
                <w:sz w:val="26"/>
                <w:szCs w:val="26"/>
              </w:rPr>
              <w:t>nonconforming</w:t>
            </w:r>
            <w:proofErr w:type="spellEnd"/>
            <w:r>
              <w:rPr>
                <w:b/>
                <w:bCs/>
                <w:sz w:val="26"/>
                <w:szCs w:val="26"/>
              </w:rPr>
              <w:t xml:space="preserve"> </w:t>
            </w:r>
            <w:proofErr w:type="spellStart"/>
            <w:r>
              <w:rPr>
                <w:rStyle w:val="StrongEmphasis"/>
                <w:sz w:val="26"/>
                <w:szCs w:val="26"/>
              </w:rPr>
              <w:t>Hijra</w:t>
            </w:r>
            <w:proofErr w:type="spellEnd"/>
            <w:r>
              <w:rPr>
                <w:sz w:val="26"/>
                <w:szCs w:val="26"/>
              </w:rPr>
              <w:t xml:space="preserve"> spielen weiterhin eine wichtige Rolle für nachhaltige Lebensweisen.</w:t>
            </w:r>
          </w:p>
        </w:tc>
      </w:tr>
      <w:tr w:rsidR="009F3EF5" w14:paraId="5C89CF21"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7F9283E" w14:textId="77777777" w:rsidR="009F3EF5" w:rsidRDefault="00000000">
            <w:pPr>
              <w:pStyle w:val="TableContents"/>
              <w:rPr>
                <w:rFonts w:eastAsia="Noto Sans CJK SC" w:cs="Lohit Devanagari"/>
                <w:sz w:val="28"/>
                <w:szCs w:val="28"/>
              </w:rPr>
            </w:pPr>
            <w:r>
              <w:rPr>
                <w:rFonts w:eastAsia="Noto Sans CJK SC" w:cs="Lohit Devanagari"/>
                <w:sz w:val="26"/>
                <w:szCs w:val="26"/>
              </w:rPr>
              <w:t xml:space="preserve">Info: Viele Orte, an denen </w:t>
            </w:r>
            <w:r>
              <w:rPr>
                <w:rStyle w:val="StrongEmphasis"/>
                <w:sz w:val="26"/>
                <w:szCs w:val="26"/>
              </w:rPr>
              <w:t>LGBTQIA</w:t>
            </w:r>
            <w:r>
              <w:rPr>
                <w:rFonts w:eastAsia="Noto Sans CJK SC" w:cs="Lohit Devanagari"/>
                <w:sz w:val="26"/>
                <w:szCs w:val="26"/>
              </w:rPr>
              <w:t xml:space="preserve">* Menschen mit großen Herausforderungen konfrontiert sind, sind auch besonders stark von der Klimakrise betroffen. </w:t>
            </w:r>
            <w:r>
              <w:rPr>
                <w:rStyle w:val="StrongEmphasis"/>
                <w:sz w:val="26"/>
                <w:szCs w:val="26"/>
              </w:rPr>
              <w:t>LGBTQIA</w:t>
            </w:r>
            <w:r>
              <w:rPr>
                <w:rFonts w:eastAsia="Noto Sans CJK SC" w:cs="Lohit Devanagari"/>
                <w:sz w:val="26"/>
                <w:szCs w:val="26"/>
              </w:rPr>
              <w:t>* Klimaflüchtende erleben oft zusätzliche Diskriminierung, doch es gibt Initiativen, die sie unterstützen.</w:t>
            </w:r>
          </w:p>
        </w:tc>
      </w:tr>
      <w:tr w:rsidR="009F3EF5" w14:paraId="6C307829"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DDC0174" w14:textId="77777777" w:rsidR="009F3EF5" w:rsidRDefault="00000000">
            <w:pPr>
              <w:pStyle w:val="TableContents"/>
              <w:rPr>
                <w:rFonts w:eastAsia="Noto Sans CJK SC" w:cs="Lohit Devanagari"/>
                <w:sz w:val="28"/>
                <w:szCs w:val="28"/>
              </w:rPr>
            </w:pPr>
            <w:r>
              <w:rPr>
                <w:rFonts w:eastAsia="Noto Sans CJK SC" w:cs="Lohit Devanagari"/>
                <w:sz w:val="26"/>
                <w:szCs w:val="26"/>
              </w:rPr>
              <w:lastRenderedPageBreak/>
              <w:t xml:space="preserve">Info: In Deutschland werden die Anliegen von </w:t>
            </w:r>
            <w:r>
              <w:rPr>
                <w:rStyle w:val="StrongEmphasis"/>
                <w:sz w:val="26"/>
                <w:szCs w:val="26"/>
              </w:rPr>
              <w:t>LGBTQIA</w:t>
            </w:r>
            <w:r>
              <w:rPr>
                <w:rFonts w:eastAsia="Noto Sans CJK SC" w:cs="Lohit Devanagari"/>
                <w:sz w:val="26"/>
                <w:szCs w:val="26"/>
              </w:rPr>
              <w:t>* Menschen in der Klimapolitik oft ignoriert. Deshalb arbeiten queere Bewegungen und Klimabewegungen zusammen, um gegen Ausbeutung und Ungerechtigkeit zu kämpfen.</w:t>
            </w:r>
          </w:p>
        </w:tc>
      </w:tr>
      <w:tr w:rsidR="009F3EF5" w14:paraId="06B9CCD7"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A7E9F81" w14:textId="77777777" w:rsidR="009F3EF5" w:rsidRDefault="00000000">
            <w:pPr>
              <w:pStyle w:val="TableContents"/>
              <w:rPr>
                <w:rFonts w:eastAsia="Noto Sans CJK SC" w:cs="Lohit Devanagari"/>
                <w:sz w:val="26"/>
                <w:szCs w:val="26"/>
              </w:rPr>
            </w:pPr>
            <w:r>
              <w:rPr>
                <w:rFonts w:eastAsia="Noto Sans CJK SC" w:cs="Lohit Devanagari"/>
                <w:sz w:val="26"/>
                <w:szCs w:val="26"/>
              </w:rPr>
              <w:t xml:space="preserve">Info: Die Idee, Menschen strikt in „männlich“ und „weiblich“ einzuteilen, ist nicht universell – sie stammt aus kolonialen Systemen, die vielen indigenen Nationen und Gemeinschaften aufgezwungen wurden. Viele erkennen und respektieren vielfältige Geschlechtsidentitäten, die über das Binäre hinausgehen. Kolonialismus versuchte, diese Traditionen durch strikte Geschlechterregeln und Bestrafung zu unterdrücken. Doch </w:t>
            </w:r>
            <w:r>
              <w:rPr>
                <w:rFonts w:eastAsia="Noto Sans CJK SC" w:cs="Lohit Devanagari"/>
                <w:b/>
                <w:bCs/>
                <w:sz w:val="26"/>
                <w:szCs w:val="26"/>
              </w:rPr>
              <w:t>gender-</w:t>
            </w:r>
            <w:proofErr w:type="spellStart"/>
            <w:r>
              <w:rPr>
                <w:rFonts w:eastAsia="Noto Sans CJK SC" w:cs="Lohit Devanagari"/>
                <w:b/>
                <w:bCs/>
                <w:sz w:val="26"/>
                <w:szCs w:val="26"/>
              </w:rPr>
              <w:t>nonconforming</w:t>
            </w:r>
            <w:proofErr w:type="spellEnd"/>
            <w:r>
              <w:rPr>
                <w:rFonts w:eastAsia="Noto Sans CJK SC" w:cs="Lohit Devanagari"/>
                <w:sz w:val="26"/>
                <w:szCs w:val="26"/>
              </w:rPr>
              <w:t xml:space="preserve"> Personen und Gemeinschaften fanden Wege, um zu überleben und ihre Praktiken zu bewahren.</w:t>
            </w:r>
          </w:p>
        </w:tc>
      </w:tr>
      <w:tr w:rsidR="009F3EF5" w14:paraId="0D55705C"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0F417B1" w14:textId="77777777" w:rsidR="009F3EF5" w:rsidRDefault="00000000">
            <w:pPr>
              <w:pStyle w:val="TableContents"/>
              <w:rPr>
                <w:rFonts w:eastAsia="Noto Sans CJK SC" w:cs="Lohit Devanagari"/>
                <w:sz w:val="28"/>
                <w:szCs w:val="28"/>
              </w:rPr>
            </w:pPr>
            <w:r>
              <w:rPr>
                <w:rFonts w:eastAsia="Noto Sans CJK SC" w:cs="Lohit Devanagari"/>
                <w:sz w:val="26"/>
                <w:szCs w:val="26"/>
              </w:rPr>
              <w:t xml:space="preserve">Info: </w:t>
            </w:r>
            <w:r>
              <w:rPr>
                <w:rStyle w:val="StrongEmphasis"/>
                <w:sz w:val="26"/>
                <w:szCs w:val="26"/>
              </w:rPr>
              <w:t>Trans</w:t>
            </w:r>
            <w:r>
              <w:rPr>
                <w:rFonts w:eastAsia="Noto Sans CJK SC" w:cs="Lohit Devanagari"/>
                <w:sz w:val="26"/>
                <w:szCs w:val="26"/>
              </w:rPr>
              <w:t xml:space="preserve">* Frauen, insbesondere jene, die in informellen Jobs wie der Sexarbeit tätig sind, sind von der Klimakrise besonders betroffen. Hitzewellen und Überschwemmungen erschweren es ihnen, Geld zu verdienen, und erhöhen die Kosten für Nahrung und Unterkunft. Doch viele </w:t>
            </w:r>
            <w:r>
              <w:rPr>
                <w:rStyle w:val="StrongEmphasis"/>
                <w:sz w:val="26"/>
                <w:szCs w:val="26"/>
              </w:rPr>
              <w:t>trans</w:t>
            </w:r>
            <w:r>
              <w:rPr>
                <w:rFonts w:eastAsia="Noto Sans CJK SC" w:cs="Lohit Devanagari"/>
                <w:sz w:val="26"/>
                <w:szCs w:val="26"/>
              </w:rPr>
              <w:t>* Gemeinschaften organisieren sich kreativ, um sich selbst zu schützen und für Klimagerechtigkeit zu kämpfen.</w:t>
            </w:r>
          </w:p>
          <w:p w14:paraId="4F3DB4FF" w14:textId="77777777" w:rsidR="009F3EF5" w:rsidRDefault="009F3EF5">
            <w:pPr>
              <w:pStyle w:val="TableContents"/>
              <w:rPr>
                <w:rFonts w:eastAsia="Noto Sans CJK SC" w:cs="Lohit Devanagari"/>
                <w:sz w:val="26"/>
                <w:szCs w:val="26"/>
              </w:rPr>
            </w:pPr>
          </w:p>
        </w:tc>
      </w:tr>
      <w:tr w:rsidR="009F3EF5" w14:paraId="7CD052AC"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1C4251B" w14:textId="77777777" w:rsidR="009F3EF5" w:rsidRDefault="00000000">
            <w:pPr>
              <w:pStyle w:val="Textbody"/>
            </w:pPr>
            <w:r>
              <w:rPr>
                <w:sz w:val="26"/>
                <w:szCs w:val="26"/>
              </w:rPr>
              <w:t xml:space="preserve">Die Klimakrise betrifft marginalisierte Gruppen wie </w:t>
            </w:r>
            <w:r>
              <w:rPr>
                <w:rStyle w:val="StrongEmphasis"/>
                <w:sz w:val="26"/>
                <w:szCs w:val="26"/>
              </w:rPr>
              <w:t>LGBTQIA</w:t>
            </w:r>
            <w:r>
              <w:rPr>
                <w:sz w:val="26"/>
                <w:szCs w:val="26"/>
              </w:rPr>
              <w:t>* Menschen mit Behinderungen besonders stark. Bei Katastrophen wie Überschwemmungen oder Hitzewellen fehlen oft Rampen oder andere Hilfen in Evakuierungsplänen, und Notunterkünfte respektieren nicht immer verschiedene Geschlechtsidentitäten. Außerdem werden diese Gruppen oft aus Notfallplänen ausgeschlossen. Doch an diesen Schnittstellen organisieren sich Kollektive, um ein gutes Leben für alle zu schaffen.</w:t>
            </w:r>
          </w:p>
        </w:tc>
      </w:tr>
    </w:tbl>
    <w:p w14:paraId="5F0096D4" w14:textId="77777777" w:rsidR="009F3EF5" w:rsidRDefault="009F3EF5">
      <w:pPr>
        <w:pStyle w:val="Textbody"/>
        <w:rPr>
          <w:sz w:val="26"/>
          <w:szCs w:val="26"/>
        </w:rPr>
      </w:pPr>
    </w:p>
    <w:tbl>
      <w:tblPr>
        <w:tblW w:w="9638" w:type="dxa"/>
        <w:tblLayout w:type="fixed"/>
        <w:tblCellMar>
          <w:left w:w="10" w:type="dxa"/>
          <w:right w:w="10" w:type="dxa"/>
        </w:tblCellMar>
        <w:tblLook w:val="04A0" w:firstRow="1" w:lastRow="0" w:firstColumn="1" w:lastColumn="0" w:noHBand="0" w:noVBand="1"/>
      </w:tblPr>
      <w:tblGrid>
        <w:gridCol w:w="9638"/>
      </w:tblGrid>
      <w:tr w:rsidR="009F3EF5" w14:paraId="4BC4D538"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4A73715" w14:textId="77777777" w:rsidR="009F3EF5" w:rsidRDefault="00000000">
            <w:pPr>
              <w:pStyle w:val="Textbody"/>
            </w:pPr>
            <w:r>
              <w:rPr>
                <w:sz w:val="26"/>
                <w:szCs w:val="26"/>
              </w:rPr>
              <w:t xml:space="preserve">Beispiel: Indien, 2004: Am 26. Dezember traf ein Tsunami die Küsten von Indien, Indonesien, Thailand und Sri Lanka. 230.000 Menschen starben, und 1,7 Millionen Menschen wurden obdachlos. </w:t>
            </w:r>
            <w:proofErr w:type="spellStart"/>
            <w:r>
              <w:rPr>
                <w:rStyle w:val="StrongEmphasis"/>
                <w:sz w:val="26"/>
                <w:szCs w:val="26"/>
              </w:rPr>
              <w:t>Aravanis</w:t>
            </w:r>
            <w:proofErr w:type="spellEnd"/>
            <w:r>
              <w:rPr>
                <w:sz w:val="26"/>
                <w:szCs w:val="26"/>
              </w:rPr>
              <w:t xml:space="preserve"> verloren Tanzkostüme, Make-up und Werkzeuge, die sie zum Überleben benötigten. Sie wurden aus Notunterkünften ausgeschlossen und nicht in Todesstatistiken aufgeführt. Als Folge davon wurden sie bei Hilfs- und Wiederaufbauprogrammen oft übersehen, was es für sie schwerer machte, ihr Leben wiederaufzubauen.</w:t>
            </w:r>
            <w:r>
              <w:rPr>
                <w:sz w:val="26"/>
                <w:szCs w:val="26"/>
              </w:rPr>
              <w:br/>
              <w:t xml:space="preserve">Auch nach dem Hurrikan Katrina in den USA 2005 wurden </w:t>
            </w:r>
            <w:r>
              <w:rPr>
                <w:rStyle w:val="StrongEmphasis"/>
                <w:sz w:val="26"/>
                <w:szCs w:val="26"/>
              </w:rPr>
              <w:t>trans</w:t>
            </w:r>
            <w:r>
              <w:rPr>
                <w:sz w:val="26"/>
                <w:szCs w:val="26"/>
              </w:rPr>
              <w:t xml:space="preserve">* Frauen aus Notunterkünften ausgeschlossen: Zwei </w:t>
            </w:r>
            <w:r>
              <w:rPr>
                <w:rStyle w:val="StrongEmphasis"/>
                <w:sz w:val="26"/>
                <w:szCs w:val="26"/>
              </w:rPr>
              <w:t>trans</w:t>
            </w:r>
            <w:r>
              <w:rPr>
                <w:sz w:val="26"/>
                <w:szCs w:val="26"/>
              </w:rPr>
              <w:t xml:space="preserve">* Frauen </w:t>
            </w:r>
            <w:proofErr w:type="spellStart"/>
            <w:r>
              <w:rPr>
                <w:sz w:val="26"/>
                <w:szCs w:val="26"/>
              </w:rPr>
              <w:t>of</w:t>
            </w:r>
            <w:proofErr w:type="spellEnd"/>
            <w:r>
              <w:rPr>
                <w:sz w:val="26"/>
                <w:szCs w:val="26"/>
              </w:rPr>
              <w:t xml:space="preserve"> Colour wurden verhaftet, weil sie die Badezimmer nutzten, die ihrer Geschlechtsidentität entsprachen.</w:t>
            </w:r>
          </w:p>
          <w:p w14:paraId="0DF8E1F8" w14:textId="77777777" w:rsidR="009F3EF5" w:rsidRDefault="009F3EF5">
            <w:pPr>
              <w:pStyle w:val="Textbody"/>
              <w:rPr>
                <w:sz w:val="26"/>
                <w:szCs w:val="26"/>
              </w:rPr>
            </w:pPr>
          </w:p>
          <w:p w14:paraId="2001A98F" w14:textId="77777777" w:rsidR="009F3EF5" w:rsidRDefault="009F3EF5">
            <w:pPr>
              <w:pStyle w:val="Textbody"/>
              <w:rPr>
                <w:sz w:val="26"/>
                <w:szCs w:val="26"/>
              </w:rPr>
            </w:pPr>
          </w:p>
          <w:p w14:paraId="7AD28AD8" w14:textId="77777777" w:rsidR="009F3EF5" w:rsidRDefault="009F3EF5">
            <w:pPr>
              <w:pStyle w:val="Textbody"/>
              <w:rPr>
                <w:sz w:val="26"/>
                <w:szCs w:val="26"/>
              </w:rPr>
            </w:pPr>
          </w:p>
          <w:p w14:paraId="7A256DA3" w14:textId="77777777" w:rsidR="009F3EF5" w:rsidRDefault="009F3EF5">
            <w:pPr>
              <w:pStyle w:val="Textbody"/>
              <w:rPr>
                <w:sz w:val="26"/>
                <w:szCs w:val="26"/>
              </w:rPr>
            </w:pPr>
          </w:p>
          <w:p w14:paraId="08EBF915" w14:textId="77777777" w:rsidR="009F3EF5" w:rsidRDefault="009F3EF5">
            <w:pPr>
              <w:pStyle w:val="Textbody"/>
              <w:rPr>
                <w:sz w:val="26"/>
                <w:szCs w:val="26"/>
              </w:rPr>
            </w:pPr>
          </w:p>
          <w:p w14:paraId="5FBF5FA3" w14:textId="77777777" w:rsidR="009F3EF5" w:rsidRDefault="009F3EF5">
            <w:pPr>
              <w:pStyle w:val="Textbody"/>
              <w:rPr>
                <w:sz w:val="26"/>
                <w:szCs w:val="26"/>
              </w:rPr>
            </w:pPr>
          </w:p>
        </w:tc>
      </w:tr>
      <w:tr w:rsidR="009F3EF5" w14:paraId="51F12993"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934997D" w14:textId="77777777" w:rsidR="009F3EF5" w:rsidRDefault="00000000">
            <w:pPr>
              <w:pStyle w:val="TableContents"/>
            </w:pPr>
            <w:r>
              <w:rPr>
                <w:sz w:val="26"/>
                <w:szCs w:val="26"/>
              </w:rPr>
              <w:lastRenderedPageBreak/>
              <w:t xml:space="preserve">Beispiel: In den USA behauptete der religiöse Führer John </w:t>
            </w:r>
            <w:proofErr w:type="spellStart"/>
            <w:r>
              <w:rPr>
                <w:sz w:val="26"/>
                <w:szCs w:val="26"/>
              </w:rPr>
              <w:t>McTernan</w:t>
            </w:r>
            <w:proofErr w:type="spellEnd"/>
            <w:r>
              <w:rPr>
                <w:sz w:val="26"/>
                <w:szCs w:val="26"/>
              </w:rPr>
              <w:t>, dass Hurrikane wie Katrina (2005), Isaac (2012) und Sandy (2012) Gottes Strafe für die Unterstützung gleichgeschlechtlicher Ehen seien. In Indonesien erklärte der malaysische Politiker Ahmad Zahid Hamidi, dass das Erdbeben und der Tsunami 2018 in Zentral-Sulawesi Allahs Strafe für Homosexualität seien.</w:t>
            </w:r>
            <w:r>
              <w:rPr>
                <w:sz w:val="26"/>
                <w:szCs w:val="26"/>
              </w:rPr>
              <w:br/>
              <w:t xml:space="preserve">Im Januar 2025, während schwerer Waldbrände in Kalifornien, behaupteten Donald Trump (Präsident der USA 2017–2021, 2025–) und Elon Musk (CEO von Tesla, SpaceX und der </w:t>
            </w:r>
            <w:proofErr w:type="spellStart"/>
            <w:r>
              <w:rPr>
                <w:sz w:val="26"/>
                <w:szCs w:val="26"/>
              </w:rPr>
              <w:t>Social</w:t>
            </w:r>
            <w:proofErr w:type="spellEnd"/>
            <w:r>
              <w:rPr>
                <w:sz w:val="26"/>
                <w:szCs w:val="26"/>
              </w:rPr>
              <w:t xml:space="preserve">-Media-Plattform X), dass Maßnahmen für Vielfalt, Gleichberechtigung und Inklusion (vom Englischen kurz DEI) die Brandbekämpfung behindert hätten. Kristin Crowley, die erste weibliche und </w:t>
            </w:r>
            <w:r>
              <w:rPr>
                <w:rStyle w:val="StrongEmphasis"/>
                <w:sz w:val="26"/>
                <w:szCs w:val="26"/>
              </w:rPr>
              <w:t>LGBTQIA</w:t>
            </w:r>
            <w:r>
              <w:rPr>
                <w:sz w:val="26"/>
                <w:szCs w:val="26"/>
              </w:rPr>
              <w:t xml:space="preserve">* Feuerwehrchefin von Los Angeles, wurde für ihren Fokus auf DEI kritisiert. Solche Aussagen tragen zur weiteren Diskriminierung von </w:t>
            </w:r>
            <w:r>
              <w:rPr>
                <w:rStyle w:val="StrongEmphasis"/>
                <w:sz w:val="26"/>
                <w:szCs w:val="26"/>
              </w:rPr>
              <w:t>LGBTQIA</w:t>
            </w:r>
            <w:r>
              <w:rPr>
                <w:sz w:val="26"/>
                <w:szCs w:val="26"/>
              </w:rPr>
              <w:t>* Menschen bei.</w:t>
            </w:r>
          </w:p>
        </w:tc>
      </w:tr>
      <w:tr w:rsidR="009F3EF5" w14:paraId="1DA6401C"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BD4CC16" w14:textId="77777777" w:rsidR="009F3EF5" w:rsidRDefault="00000000">
            <w:pPr>
              <w:pStyle w:val="TableContents"/>
            </w:pPr>
            <w:r>
              <w:rPr>
                <w:sz w:val="26"/>
                <w:szCs w:val="26"/>
              </w:rPr>
              <w:t xml:space="preserve">Beispiel: In Kingston, Jamaika, haben junge queere und </w:t>
            </w:r>
            <w:r>
              <w:rPr>
                <w:rStyle w:val="StrongEmphasis"/>
                <w:sz w:val="26"/>
                <w:szCs w:val="26"/>
              </w:rPr>
              <w:t>trans</w:t>
            </w:r>
            <w:r>
              <w:rPr>
                <w:sz w:val="26"/>
                <w:szCs w:val="26"/>
              </w:rPr>
              <w:t>* Menschen, die von ihren Familien abgelehnt wurden, in der Kanalisation Notunterkünfte gebaut, um zu überleben. In diesen Lagern können sie sich aufhalten und gegenseitig unterstützen. Doch bei starken Regenfällen und Überschwemmungen werden diese Unterkünfte zerstört, und ihr Leben ist in Gefahr.</w:t>
            </w:r>
          </w:p>
        </w:tc>
      </w:tr>
      <w:tr w:rsidR="009F3EF5" w14:paraId="0758427F"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DF63D07" w14:textId="77777777" w:rsidR="009F3EF5" w:rsidRDefault="00000000">
            <w:pPr>
              <w:pStyle w:val="TableContents"/>
            </w:pPr>
            <w:r>
              <w:rPr>
                <w:sz w:val="26"/>
                <w:szCs w:val="26"/>
              </w:rPr>
              <w:t xml:space="preserve">Beispiel: Während der Überschwemmungen in Pakistan im Jahr 2022 hatten </w:t>
            </w:r>
            <w:r>
              <w:rPr>
                <w:rStyle w:val="StrongEmphasis"/>
                <w:sz w:val="26"/>
                <w:szCs w:val="26"/>
              </w:rPr>
              <w:t>trans</w:t>
            </w:r>
            <w:r>
              <w:rPr>
                <w:sz w:val="26"/>
                <w:szCs w:val="26"/>
              </w:rPr>
              <w:t xml:space="preserve">* Menschen keinen Zugang zu Nahrung oder Unterkünften. Sie wandten sich an die Gender Interactive Alliance, und ein Mitglied der </w:t>
            </w:r>
            <w:r>
              <w:rPr>
                <w:rStyle w:val="StrongEmphasis"/>
                <w:sz w:val="26"/>
                <w:szCs w:val="26"/>
              </w:rPr>
              <w:t>trans</w:t>
            </w:r>
            <w:r>
              <w:rPr>
                <w:sz w:val="26"/>
                <w:szCs w:val="26"/>
              </w:rPr>
              <w:t>* Community entwickelte eine App, um Spenden zu sammeln und auf die Bedürfnisse der Community aufmerksam zu machen.</w:t>
            </w:r>
          </w:p>
          <w:p w14:paraId="3A8FFAA1" w14:textId="77777777" w:rsidR="009F3EF5" w:rsidRDefault="009F3EF5">
            <w:pPr>
              <w:pStyle w:val="TableContents"/>
              <w:rPr>
                <w:sz w:val="26"/>
                <w:szCs w:val="26"/>
              </w:rPr>
            </w:pPr>
          </w:p>
          <w:p w14:paraId="408EB819" w14:textId="77777777" w:rsidR="009F3EF5" w:rsidRDefault="009F3EF5">
            <w:pPr>
              <w:pStyle w:val="TableContents"/>
              <w:rPr>
                <w:sz w:val="26"/>
                <w:szCs w:val="26"/>
              </w:rPr>
            </w:pPr>
          </w:p>
          <w:p w14:paraId="3E39671B" w14:textId="77777777" w:rsidR="009F3EF5" w:rsidRDefault="009F3EF5">
            <w:pPr>
              <w:pStyle w:val="TableContents"/>
              <w:rPr>
                <w:sz w:val="26"/>
                <w:szCs w:val="26"/>
              </w:rPr>
            </w:pPr>
          </w:p>
          <w:p w14:paraId="3B355059" w14:textId="77777777" w:rsidR="009F3EF5" w:rsidRDefault="009F3EF5">
            <w:pPr>
              <w:pStyle w:val="TableContents"/>
              <w:rPr>
                <w:sz w:val="26"/>
                <w:szCs w:val="26"/>
              </w:rPr>
            </w:pPr>
          </w:p>
        </w:tc>
      </w:tr>
      <w:tr w:rsidR="009F3EF5" w14:paraId="58DA3E08"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FFBC5A5" w14:textId="77777777" w:rsidR="009F3EF5" w:rsidRDefault="00000000">
            <w:pPr>
              <w:pStyle w:val="TableContents"/>
            </w:pPr>
            <w:r>
              <w:rPr>
                <w:sz w:val="26"/>
                <w:szCs w:val="26"/>
              </w:rPr>
              <w:t xml:space="preserve">Beispiel: Der UNFCCC Gender Action Plan und die Nationalen Anpassungspläne (NAP) </w:t>
            </w:r>
            <w:r>
              <w:rPr>
                <w:sz w:val="26"/>
                <w:szCs w:val="26"/>
              </w:rPr>
              <w:lastRenderedPageBreak/>
              <w:t xml:space="preserve">berücksichtigen, wie Frauen und Männer unterschiedlich von der Klimakrise betroffen sind. Die Pläne wollen die gleichberechtigte Beteiligung von Frauen in der Klimapolitik fördern. Doch die spezifischen Bedürfnisse von </w:t>
            </w:r>
            <w:r>
              <w:rPr>
                <w:rStyle w:val="StrongEmphasis"/>
                <w:sz w:val="26"/>
                <w:szCs w:val="26"/>
              </w:rPr>
              <w:t>LGBTQIA</w:t>
            </w:r>
            <w:r>
              <w:rPr>
                <w:sz w:val="26"/>
                <w:szCs w:val="26"/>
              </w:rPr>
              <w:t>* Menschen werden in diesen Plänen nicht erwähnt.</w:t>
            </w:r>
          </w:p>
        </w:tc>
      </w:tr>
      <w:tr w:rsidR="009F3EF5" w14:paraId="2A2C7B0F"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78A92BF" w14:textId="77777777" w:rsidR="009F3EF5" w:rsidRDefault="00000000">
            <w:pPr>
              <w:pStyle w:val="TableContents"/>
            </w:pPr>
            <w:r>
              <w:rPr>
                <w:sz w:val="26"/>
                <w:szCs w:val="26"/>
              </w:rPr>
              <w:lastRenderedPageBreak/>
              <w:t xml:space="preserve">Beispiel: </w:t>
            </w:r>
            <w:proofErr w:type="spellStart"/>
            <w:r>
              <w:rPr>
                <w:sz w:val="26"/>
                <w:szCs w:val="26"/>
              </w:rPr>
              <w:t>Nyombi</w:t>
            </w:r>
            <w:proofErr w:type="spellEnd"/>
            <w:r>
              <w:rPr>
                <w:sz w:val="26"/>
                <w:szCs w:val="26"/>
              </w:rPr>
              <w:t xml:space="preserve"> Morris (he/</w:t>
            </w:r>
            <w:proofErr w:type="spellStart"/>
            <w:r>
              <w:rPr>
                <w:sz w:val="26"/>
                <w:szCs w:val="26"/>
              </w:rPr>
              <w:t>him</w:t>
            </w:r>
            <w:proofErr w:type="spellEnd"/>
            <w:r>
              <w:rPr>
                <w:sz w:val="26"/>
                <w:szCs w:val="26"/>
              </w:rPr>
              <w:t xml:space="preserve">), ein Klimaaktivist aus Uganda, begann 2014, sich für Klimagerechtigkeit einzusetzen, nachdem Überschwemmungen die Farm seiner Familie zerstört hatten. Er kämpft auch für </w:t>
            </w:r>
            <w:r>
              <w:rPr>
                <w:rStyle w:val="StrongEmphasis"/>
                <w:sz w:val="26"/>
                <w:szCs w:val="26"/>
              </w:rPr>
              <w:t>LGBTQIA</w:t>
            </w:r>
            <w:r>
              <w:rPr>
                <w:sz w:val="26"/>
                <w:szCs w:val="26"/>
              </w:rPr>
              <w:t>* Rechte, obwohl er dadurch Verfolgung riskiert. Nach der Einführung des Anti-Homosexualitätsgesetzes 2023 in Uganda erhielt Morris massive Drohungen und floh Ende 2024 nach Dänemark.</w:t>
            </w:r>
            <w:r>
              <w:rPr>
                <w:sz w:val="26"/>
                <w:szCs w:val="26"/>
              </w:rPr>
              <w:br/>
            </w:r>
            <w:r>
              <w:rPr>
                <w:rStyle w:val="StrongEmphasis"/>
                <w:sz w:val="26"/>
                <w:szCs w:val="26"/>
              </w:rPr>
              <w:t xml:space="preserve">Sha </w:t>
            </w:r>
            <w:proofErr w:type="spellStart"/>
            <w:r>
              <w:rPr>
                <w:rStyle w:val="StrongEmphasis"/>
                <w:sz w:val="26"/>
                <w:szCs w:val="26"/>
              </w:rPr>
              <w:t>Merirei</w:t>
            </w:r>
            <w:proofErr w:type="spellEnd"/>
            <w:r>
              <w:rPr>
                <w:sz w:val="26"/>
                <w:szCs w:val="26"/>
              </w:rPr>
              <w:t xml:space="preserve"> (</w:t>
            </w:r>
            <w:proofErr w:type="spellStart"/>
            <w:r>
              <w:rPr>
                <w:sz w:val="26"/>
                <w:szCs w:val="26"/>
              </w:rPr>
              <w:t>she</w:t>
            </w:r>
            <w:proofErr w:type="spellEnd"/>
            <w:r>
              <w:rPr>
                <w:sz w:val="26"/>
                <w:szCs w:val="26"/>
              </w:rPr>
              <w:t>/</w:t>
            </w:r>
            <w:proofErr w:type="spellStart"/>
            <w:r>
              <w:rPr>
                <w:sz w:val="26"/>
                <w:szCs w:val="26"/>
              </w:rPr>
              <w:t>they</w:t>
            </w:r>
            <w:proofErr w:type="spellEnd"/>
            <w:r>
              <w:rPr>
                <w:sz w:val="26"/>
                <w:szCs w:val="26"/>
              </w:rPr>
              <w:t xml:space="preserve">), eine queere Aktivistin aus Palau, gründete </w:t>
            </w:r>
            <w:proofErr w:type="spellStart"/>
            <w:r>
              <w:rPr>
                <w:sz w:val="26"/>
                <w:szCs w:val="26"/>
              </w:rPr>
              <w:t>Pasifika</w:t>
            </w:r>
            <w:proofErr w:type="spellEnd"/>
            <w:r>
              <w:rPr>
                <w:sz w:val="26"/>
                <w:szCs w:val="26"/>
              </w:rPr>
              <w:t xml:space="preserve"> </w:t>
            </w:r>
            <w:proofErr w:type="spellStart"/>
            <w:r>
              <w:rPr>
                <w:sz w:val="26"/>
                <w:szCs w:val="26"/>
              </w:rPr>
              <w:t>Uprising</w:t>
            </w:r>
            <w:proofErr w:type="spellEnd"/>
            <w:r>
              <w:rPr>
                <w:sz w:val="26"/>
                <w:szCs w:val="26"/>
              </w:rPr>
              <w:t xml:space="preserve">, um die Umweltverschmutzung durch das US-Militär zu bekämpfen und die Stimmen indigener und </w:t>
            </w:r>
            <w:r>
              <w:rPr>
                <w:rStyle w:val="StrongEmphasis"/>
                <w:sz w:val="26"/>
                <w:szCs w:val="26"/>
              </w:rPr>
              <w:t>LGBTQIA</w:t>
            </w:r>
            <w:r>
              <w:rPr>
                <w:sz w:val="26"/>
                <w:szCs w:val="26"/>
              </w:rPr>
              <w:t xml:space="preserve">* Personen im </w:t>
            </w:r>
            <w:proofErr w:type="spellStart"/>
            <w:r>
              <w:rPr>
                <w:sz w:val="26"/>
                <w:szCs w:val="26"/>
              </w:rPr>
              <w:t>Umweltaktivismus</w:t>
            </w:r>
            <w:proofErr w:type="spellEnd"/>
            <w:r>
              <w:rPr>
                <w:sz w:val="26"/>
                <w:szCs w:val="26"/>
              </w:rPr>
              <w:t xml:space="preserve"> zu stärken.</w:t>
            </w:r>
            <w:r>
              <w:rPr>
                <w:sz w:val="26"/>
                <w:szCs w:val="26"/>
              </w:rPr>
              <w:br/>
            </w:r>
            <w:r>
              <w:rPr>
                <w:rStyle w:val="StrongEmphasis"/>
                <w:sz w:val="26"/>
                <w:szCs w:val="26"/>
              </w:rPr>
              <w:t xml:space="preserve">Santa </w:t>
            </w:r>
            <w:proofErr w:type="spellStart"/>
            <w:r>
              <w:rPr>
                <w:rStyle w:val="StrongEmphasis"/>
                <w:sz w:val="26"/>
                <w:szCs w:val="26"/>
              </w:rPr>
              <w:t>Khurai</w:t>
            </w:r>
            <w:proofErr w:type="spellEnd"/>
            <w:r>
              <w:rPr>
                <w:sz w:val="26"/>
                <w:szCs w:val="26"/>
              </w:rPr>
              <w:t xml:space="preserve"> (</w:t>
            </w:r>
            <w:proofErr w:type="spellStart"/>
            <w:r>
              <w:rPr>
                <w:sz w:val="26"/>
                <w:szCs w:val="26"/>
              </w:rPr>
              <w:t>she</w:t>
            </w:r>
            <w:proofErr w:type="spellEnd"/>
            <w:r>
              <w:rPr>
                <w:sz w:val="26"/>
                <w:szCs w:val="26"/>
              </w:rPr>
              <w:t xml:space="preserve">/her) aus Manipur, Indien, ist eine </w:t>
            </w:r>
            <w:r>
              <w:rPr>
                <w:rStyle w:val="StrongEmphasis"/>
                <w:sz w:val="26"/>
                <w:szCs w:val="26"/>
              </w:rPr>
              <w:t>trans</w:t>
            </w:r>
            <w:r>
              <w:rPr>
                <w:sz w:val="26"/>
                <w:szCs w:val="26"/>
              </w:rPr>
              <w:t xml:space="preserve">* Aktivistin und leitet die All Manipur </w:t>
            </w:r>
            <w:proofErr w:type="spellStart"/>
            <w:r>
              <w:rPr>
                <w:sz w:val="26"/>
                <w:szCs w:val="26"/>
              </w:rPr>
              <w:t>Nupi</w:t>
            </w:r>
            <w:proofErr w:type="spellEnd"/>
            <w:r>
              <w:rPr>
                <w:sz w:val="26"/>
                <w:szCs w:val="26"/>
              </w:rPr>
              <w:t xml:space="preserve"> </w:t>
            </w:r>
            <w:proofErr w:type="spellStart"/>
            <w:r>
              <w:rPr>
                <w:sz w:val="26"/>
                <w:szCs w:val="26"/>
              </w:rPr>
              <w:t>Maanbi</w:t>
            </w:r>
            <w:proofErr w:type="spellEnd"/>
            <w:r>
              <w:rPr>
                <w:sz w:val="26"/>
                <w:szCs w:val="26"/>
              </w:rPr>
              <w:t xml:space="preserve"> </w:t>
            </w:r>
            <w:proofErr w:type="spellStart"/>
            <w:r>
              <w:rPr>
                <w:sz w:val="26"/>
                <w:szCs w:val="26"/>
              </w:rPr>
              <w:t>Association</w:t>
            </w:r>
            <w:proofErr w:type="spellEnd"/>
            <w:r>
              <w:rPr>
                <w:sz w:val="26"/>
                <w:szCs w:val="26"/>
              </w:rPr>
              <w:t xml:space="preserve">. Sie setzt sich für die Rechte von </w:t>
            </w:r>
            <w:r>
              <w:rPr>
                <w:rStyle w:val="StrongEmphasis"/>
                <w:sz w:val="26"/>
                <w:szCs w:val="26"/>
              </w:rPr>
              <w:t>trans</w:t>
            </w:r>
            <w:r>
              <w:rPr>
                <w:sz w:val="26"/>
                <w:szCs w:val="26"/>
              </w:rPr>
              <w:t>* Personen ein und bekämpft die Auswirkungen der Klimakrise auf Wasser und Hygiene in marginalisierten indigenen Gemeinschaften.</w:t>
            </w:r>
          </w:p>
        </w:tc>
      </w:tr>
      <w:tr w:rsidR="009F3EF5" w14:paraId="5F03533E"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779C7D8" w14:textId="77777777" w:rsidR="009F3EF5" w:rsidRDefault="009F3EF5">
            <w:pPr>
              <w:pStyle w:val="TableContents"/>
              <w:rPr>
                <w:sz w:val="26"/>
                <w:szCs w:val="26"/>
              </w:rPr>
            </w:pPr>
          </w:p>
          <w:p w14:paraId="65F45154" w14:textId="77777777" w:rsidR="009F3EF5" w:rsidRDefault="009F3EF5">
            <w:pPr>
              <w:pStyle w:val="TableContents"/>
              <w:rPr>
                <w:sz w:val="26"/>
                <w:szCs w:val="26"/>
              </w:rPr>
            </w:pPr>
          </w:p>
          <w:p w14:paraId="68E0F5A1" w14:textId="77777777" w:rsidR="009F3EF5" w:rsidRDefault="009F3EF5">
            <w:pPr>
              <w:pStyle w:val="TableContents"/>
              <w:rPr>
                <w:sz w:val="26"/>
                <w:szCs w:val="26"/>
              </w:rPr>
            </w:pPr>
          </w:p>
          <w:p w14:paraId="193C13D5" w14:textId="77777777" w:rsidR="009F3EF5" w:rsidRDefault="009F3EF5">
            <w:pPr>
              <w:pStyle w:val="TableContents"/>
              <w:rPr>
                <w:sz w:val="26"/>
                <w:szCs w:val="26"/>
              </w:rPr>
            </w:pPr>
          </w:p>
          <w:p w14:paraId="30D18CE6" w14:textId="77777777" w:rsidR="009F3EF5" w:rsidRDefault="009F3EF5">
            <w:pPr>
              <w:pStyle w:val="TableContents"/>
              <w:rPr>
                <w:sz w:val="26"/>
                <w:szCs w:val="26"/>
              </w:rPr>
            </w:pPr>
          </w:p>
          <w:p w14:paraId="72172812" w14:textId="77777777" w:rsidR="009F3EF5" w:rsidRDefault="009F3EF5">
            <w:pPr>
              <w:pStyle w:val="TableContents"/>
              <w:rPr>
                <w:sz w:val="26"/>
                <w:szCs w:val="26"/>
              </w:rPr>
            </w:pPr>
          </w:p>
          <w:p w14:paraId="7D69368B" w14:textId="77777777" w:rsidR="009F3EF5" w:rsidRDefault="009F3EF5">
            <w:pPr>
              <w:pStyle w:val="TableContents"/>
              <w:rPr>
                <w:sz w:val="26"/>
                <w:szCs w:val="26"/>
              </w:rPr>
            </w:pPr>
          </w:p>
          <w:p w14:paraId="485E6403" w14:textId="77777777" w:rsidR="009F3EF5" w:rsidRDefault="009F3EF5">
            <w:pPr>
              <w:pStyle w:val="TableContents"/>
              <w:rPr>
                <w:sz w:val="26"/>
                <w:szCs w:val="26"/>
              </w:rPr>
            </w:pPr>
          </w:p>
          <w:p w14:paraId="682FA81F" w14:textId="77777777" w:rsidR="009F3EF5" w:rsidRDefault="009F3EF5">
            <w:pPr>
              <w:pStyle w:val="TableContents"/>
              <w:rPr>
                <w:sz w:val="26"/>
                <w:szCs w:val="26"/>
              </w:rPr>
            </w:pPr>
          </w:p>
          <w:p w14:paraId="07518FB9" w14:textId="77777777" w:rsidR="009F3EF5" w:rsidRDefault="00000000">
            <w:pPr>
              <w:pStyle w:val="TableContents"/>
            </w:pPr>
            <w:r>
              <w:rPr>
                <w:sz w:val="26"/>
                <w:szCs w:val="26"/>
              </w:rPr>
              <w:t xml:space="preserve">Beispiel: Die </w:t>
            </w:r>
            <w:proofErr w:type="spellStart"/>
            <w:r>
              <w:rPr>
                <w:rStyle w:val="StrongEmphasis"/>
                <w:sz w:val="26"/>
                <w:szCs w:val="26"/>
              </w:rPr>
              <w:t>Hijra</w:t>
            </w:r>
            <w:proofErr w:type="spellEnd"/>
            <w:r>
              <w:rPr>
                <w:rStyle w:val="StrongEmphasis"/>
                <w:sz w:val="26"/>
                <w:szCs w:val="26"/>
              </w:rPr>
              <w:t>-</w:t>
            </w:r>
            <w:r>
              <w:rPr>
                <w:sz w:val="26"/>
                <w:szCs w:val="26"/>
              </w:rPr>
              <w:t xml:space="preserve">Gemeinschaft in Indien wurde durch Gesetze der britischen Kolonialherrschaft unterdrückt, zum Beispiel durch das </w:t>
            </w:r>
            <w:proofErr w:type="spellStart"/>
            <w:r>
              <w:rPr>
                <w:sz w:val="26"/>
                <w:szCs w:val="26"/>
              </w:rPr>
              <w:t>Criminal</w:t>
            </w:r>
            <w:proofErr w:type="spellEnd"/>
            <w:r>
              <w:rPr>
                <w:sz w:val="26"/>
                <w:szCs w:val="26"/>
              </w:rPr>
              <w:t xml:space="preserve"> Tribes Act von 1871, das sie als „kriminell“ einstufte, und </w:t>
            </w:r>
            <w:proofErr w:type="spellStart"/>
            <w:r>
              <w:rPr>
                <w:sz w:val="26"/>
                <w:szCs w:val="26"/>
              </w:rPr>
              <w:t>Section</w:t>
            </w:r>
            <w:proofErr w:type="spellEnd"/>
            <w:r>
              <w:rPr>
                <w:sz w:val="26"/>
                <w:szCs w:val="26"/>
              </w:rPr>
              <w:t xml:space="preserve"> 377 des Indian Penal Code, das </w:t>
            </w:r>
            <w:r>
              <w:rPr>
                <w:b/>
                <w:bCs/>
                <w:sz w:val="26"/>
                <w:szCs w:val="26"/>
              </w:rPr>
              <w:t>nicht-normative Sexualitäten</w:t>
            </w:r>
            <w:r>
              <w:rPr>
                <w:sz w:val="26"/>
                <w:szCs w:val="26"/>
              </w:rPr>
              <w:t xml:space="preserve"> kriminalisierte. Obwohl diese Gesetze heute nicht mehr in Kraft sind und </w:t>
            </w:r>
            <w:proofErr w:type="spellStart"/>
            <w:r>
              <w:rPr>
                <w:rStyle w:val="StrongEmphasis"/>
                <w:sz w:val="26"/>
                <w:szCs w:val="26"/>
              </w:rPr>
              <w:t>Hijras</w:t>
            </w:r>
            <w:proofErr w:type="spellEnd"/>
            <w:r>
              <w:rPr>
                <w:sz w:val="26"/>
                <w:szCs w:val="26"/>
              </w:rPr>
              <w:t xml:space="preserve"> seit 2014 als drittes Geschlecht anerkannt sind, erleben sie weiterhin Diskriminierung. Sie führen wichtige Rituale wie Segnungen bei Hochzeiten und Geburten durch, die soziale Bindungen stärken. In Krisen agieren sie oft als Vermittler*innen und helfen marginalisierten Gruppen, Unterstützung zu erhalten.</w:t>
            </w:r>
          </w:p>
        </w:tc>
      </w:tr>
      <w:tr w:rsidR="009F3EF5" w14:paraId="3A07366D"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D9D63B7" w14:textId="77777777" w:rsidR="009F3EF5" w:rsidRDefault="00000000">
            <w:pPr>
              <w:pStyle w:val="TableContents"/>
            </w:pPr>
            <w:r>
              <w:rPr>
                <w:sz w:val="26"/>
                <w:szCs w:val="26"/>
              </w:rPr>
              <w:t xml:space="preserve">Beispiel: Im Libanon entwickelte die Women’s </w:t>
            </w:r>
            <w:proofErr w:type="spellStart"/>
            <w:r>
              <w:rPr>
                <w:sz w:val="26"/>
                <w:szCs w:val="26"/>
              </w:rPr>
              <w:t>Refugee</w:t>
            </w:r>
            <w:proofErr w:type="spellEnd"/>
            <w:r>
              <w:rPr>
                <w:sz w:val="26"/>
                <w:szCs w:val="26"/>
              </w:rPr>
              <w:t xml:space="preserve"> </w:t>
            </w:r>
            <w:proofErr w:type="spellStart"/>
            <w:r>
              <w:rPr>
                <w:sz w:val="26"/>
                <w:szCs w:val="26"/>
              </w:rPr>
              <w:t>Commission</w:t>
            </w:r>
            <w:proofErr w:type="spellEnd"/>
            <w:r>
              <w:rPr>
                <w:sz w:val="26"/>
                <w:szCs w:val="26"/>
              </w:rPr>
              <w:t xml:space="preserve"> spezielle Programme </w:t>
            </w:r>
            <w:r>
              <w:rPr>
                <w:sz w:val="26"/>
                <w:szCs w:val="26"/>
              </w:rPr>
              <w:lastRenderedPageBreak/>
              <w:t xml:space="preserve">für </w:t>
            </w:r>
            <w:r>
              <w:rPr>
                <w:rStyle w:val="StrongEmphasis"/>
                <w:sz w:val="26"/>
                <w:szCs w:val="26"/>
              </w:rPr>
              <w:t>trans</w:t>
            </w:r>
            <w:r>
              <w:rPr>
                <w:sz w:val="26"/>
                <w:szCs w:val="26"/>
              </w:rPr>
              <w:t xml:space="preserve">* Frauen, nachdem viele Geflüchtete in Beirut ankamen. Sie schufen sichere Treffpunkte, gaben Informationen über Hilfsangebote und organisierten Kunst- und Theaterprojekte speziell für </w:t>
            </w:r>
            <w:r>
              <w:rPr>
                <w:rStyle w:val="StrongEmphasis"/>
                <w:sz w:val="26"/>
                <w:szCs w:val="26"/>
              </w:rPr>
              <w:t>trans</w:t>
            </w:r>
            <w:r>
              <w:rPr>
                <w:sz w:val="26"/>
                <w:szCs w:val="26"/>
              </w:rPr>
              <w:t>* Frauen.</w:t>
            </w:r>
          </w:p>
        </w:tc>
      </w:tr>
      <w:tr w:rsidR="009F3EF5" w14:paraId="76A92E50"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1BFD05C" w14:textId="77777777" w:rsidR="009F3EF5" w:rsidRDefault="00000000">
            <w:pPr>
              <w:pStyle w:val="TableContents"/>
            </w:pPr>
            <w:r>
              <w:rPr>
                <w:sz w:val="26"/>
                <w:szCs w:val="26"/>
              </w:rPr>
              <w:lastRenderedPageBreak/>
              <w:t xml:space="preserve">Beispiel: Die Gruppe </w:t>
            </w:r>
            <w:proofErr w:type="spellStart"/>
            <w:r>
              <w:rPr>
                <w:sz w:val="26"/>
                <w:szCs w:val="26"/>
              </w:rPr>
              <w:t>Queers</w:t>
            </w:r>
            <w:proofErr w:type="spellEnd"/>
            <w:r>
              <w:rPr>
                <w:sz w:val="26"/>
                <w:szCs w:val="26"/>
              </w:rPr>
              <w:t xml:space="preserve"> </w:t>
            </w:r>
            <w:proofErr w:type="spellStart"/>
            <w:r>
              <w:rPr>
                <w:sz w:val="26"/>
                <w:szCs w:val="26"/>
              </w:rPr>
              <w:t>for</w:t>
            </w:r>
            <w:proofErr w:type="spellEnd"/>
            <w:r>
              <w:rPr>
                <w:sz w:val="26"/>
                <w:szCs w:val="26"/>
              </w:rPr>
              <w:t xml:space="preserve"> Future in Deutschland setzt sich für Klimaschutz und die Rechte von </w:t>
            </w:r>
            <w:r>
              <w:rPr>
                <w:rStyle w:val="StrongEmphasis"/>
                <w:sz w:val="26"/>
                <w:szCs w:val="26"/>
              </w:rPr>
              <w:t>LGBTQIA</w:t>
            </w:r>
            <w:r>
              <w:rPr>
                <w:sz w:val="26"/>
                <w:szCs w:val="26"/>
              </w:rPr>
              <w:t xml:space="preserve">* Menschen ein. Bei Demonstrationen wie </w:t>
            </w:r>
            <w:proofErr w:type="spellStart"/>
            <w:r>
              <w:rPr>
                <w:sz w:val="26"/>
                <w:szCs w:val="26"/>
              </w:rPr>
              <w:t>Fridays</w:t>
            </w:r>
            <w:proofErr w:type="spellEnd"/>
            <w:r>
              <w:rPr>
                <w:sz w:val="26"/>
                <w:szCs w:val="26"/>
              </w:rPr>
              <w:t xml:space="preserve"> </w:t>
            </w:r>
            <w:proofErr w:type="spellStart"/>
            <w:r>
              <w:rPr>
                <w:sz w:val="26"/>
                <w:szCs w:val="26"/>
              </w:rPr>
              <w:t>for</w:t>
            </w:r>
            <w:proofErr w:type="spellEnd"/>
            <w:r>
              <w:rPr>
                <w:sz w:val="26"/>
                <w:szCs w:val="26"/>
              </w:rPr>
              <w:t xml:space="preserve"> Future machen sie darauf aufmerksam, dass Klimagerechtigkeit nur funktioniert, wenn marginalisierte Gruppen wie </w:t>
            </w:r>
            <w:r>
              <w:rPr>
                <w:rStyle w:val="StrongEmphasis"/>
                <w:sz w:val="26"/>
                <w:szCs w:val="26"/>
              </w:rPr>
              <w:t>LGBTQIA</w:t>
            </w:r>
            <w:r>
              <w:rPr>
                <w:sz w:val="26"/>
                <w:szCs w:val="26"/>
              </w:rPr>
              <w:t>* Menschen einbezogen werden. Doch es bleibt schwierig, queeren Stimmen in der Klimapolitik Gehör zu verschaffen.</w:t>
            </w:r>
          </w:p>
        </w:tc>
      </w:tr>
      <w:tr w:rsidR="009F3EF5" w14:paraId="14FB1081"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362AB8C" w14:textId="77777777" w:rsidR="009F3EF5" w:rsidRDefault="009F3EF5">
            <w:pPr>
              <w:pStyle w:val="TableContents"/>
              <w:rPr>
                <w:sz w:val="26"/>
                <w:szCs w:val="26"/>
              </w:rPr>
            </w:pPr>
          </w:p>
          <w:p w14:paraId="0B5BF6B3" w14:textId="77777777" w:rsidR="009F3EF5" w:rsidRDefault="009F3EF5">
            <w:pPr>
              <w:pStyle w:val="TableContents"/>
              <w:rPr>
                <w:sz w:val="26"/>
                <w:szCs w:val="26"/>
              </w:rPr>
            </w:pPr>
          </w:p>
          <w:p w14:paraId="6213E686" w14:textId="77777777" w:rsidR="009F3EF5" w:rsidRDefault="009F3EF5">
            <w:pPr>
              <w:pStyle w:val="TableContents"/>
              <w:rPr>
                <w:sz w:val="26"/>
                <w:szCs w:val="26"/>
              </w:rPr>
            </w:pPr>
          </w:p>
          <w:p w14:paraId="307F970B" w14:textId="77777777" w:rsidR="009F3EF5" w:rsidRDefault="009F3EF5">
            <w:pPr>
              <w:pStyle w:val="TableContents"/>
              <w:rPr>
                <w:sz w:val="26"/>
                <w:szCs w:val="26"/>
              </w:rPr>
            </w:pPr>
          </w:p>
          <w:p w14:paraId="29D25E35" w14:textId="77777777" w:rsidR="009F3EF5" w:rsidRDefault="009F3EF5">
            <w:pPr>
              <w:pStyle w:val="TableContents"/>
              <w:rPr>
                <w:sz w:val="26"/>
                <w:szCs w:val="26"/>
              </w:rPr>
            </w:pPr>
          </w:p>
          <w:p w14:paraId="0674EF99" w14:textId="77777777" w:rsidR="009F3EF5" w:rsidRDefault="009F3EF5">
            <w:pPr>
              <w:pStyle w:val="TableContents"/>
              <w:rPr>
                <w:sz w:val="26"/>
                <w:szCs w:val="26"/>
              </w:rPr>
            </w:pPr>
          </w:p>
          <w:p w14:paraId="4F1879FA" w14:textId="77777777" w:rsidR="009F3EF5" w:rsidRDefault="009F3EF5">
            <w:pPr>
              <w:pStyle w:val="TableContents"/>
              <w:rPr>
                <w:sz w:val="26"/>
                <w:szCs w:val="26"/>
              </w:rPr>
            </w:pPr>
          </w:p>
          <w:p w14:paraId="790C4AE7" w14:textId="77777777" w:rsidR="009F3EF5" w:rsidRDefault="009F3EF5">
            <w:pPr>
              <w:pStyle w:val="TableContents"/>
              <w:rPr>
                <w:sz w:val="26"/>
                <w:szCs w:val="26"/>
              </w:rPr>
            </w:pPr>
          </w:p>
          <w:p w14:paraId="67A26D03" w14:textId="77777777" w:rsidR="009F3EF5" w:rsidRDefault="009F3EF5">
            <w:pPr>
              <w:pStyle w:val="TableContents"/>
              <w:rPr>
                <w:sz w:val="26"/>
                <w:szCs w:val="26"/>
              </w:rPr>
            </w:pPr>
          </w:p>
          <w:p w14:paraId="5D3CF7E9" w14:textId="77777777" w:rsidR="009F3EF5" w:rsidRDefault="009F3EF5">
            <w:pPr>
              <w:pStyle w:val="TableContents"/>
              <w:rPr>
                <w:sz w:val="26"/>
                <w:szCs w:val="26"/>
              </w:rPr>
            </w:pPr>
          </w:p>
          <w:p w14:paraId="06FF8E19" w14:textId="77777777" w:rsidR="009F3EF5" w:rsidRDefault="00000000">
            <w:pPr>
              <w:pStyle w:val="TableContents"/>
            </w:pPr>
            <w:r>
              <w:rPr>
                <w:sz w:val="26"/>
                <w:szCs w:val="26"/>
              </w:rPr>
              <w:t xml:space="preserve">Beispiel: Leanne </w:t>
            </w:r>
            <w:proofErr w:type="spellStart"/>
            <w:r>
              <w:rPr>
                <w:sz w:val="26"/>
                <w:szCs w:val="26"/>
              </w:rPr>
              <w:t>Betasamosake</w:t>
            </w:r>
            <w:proofErr w:type="spellEnd"/>
            <w:r>
              <w:rPr>
                <w:sz w:val="26"/>
                <w:szCs w:val="26"/>
              </w:rPr>
              <w:t xml:space="preserve"> Simpson aus der </w:t>
            </w:r>
            <w:proofErr w:type="spellStart"/>
            <w:r>
              <w:rPr>
                <w:rStyle w:val="StrongEmphasis"/>
                <w:sz w:val="26"/>
                <w:szCs w:val="26"/>
              </w:rPr>
              <w:t>Nishnaabeg</w:t>
            </w:r>
            <w:proofErr w:type="spellEnd"/>
            <w:r>
              <w:rPr>
                <w:sz w:val="26"/>
                <w:szCs w:val="26"/>
              </w:rPr>
              <w:t xml:space="preserve"> Nation erklärt, dass das Geschlechter-Binär eine koloniale Idee ist, die in der </w:t>
            </w:r>
            <w:proofErr w:type="spellStart"/>
            <w:r>
              <w:rPr>
                <w:rStyle w:val="StrongEmphasis"/>
                <w:sz w:val="26"/>
                <w:szCs w:val="26"/>
              </w:rPr>
              <w:t>Nishnaabeg</w:t>
            </w:r>
            <w:proofErr w:type="spellEnd"/>
            <w:r>
              <w:rPr>
                <w:sz w:val="26"/>
                <w:szCs w:val="26"/>
              </w:rPr>
              <w:t xml:space="preserve"> Denk- und Lebensweise keinen Sinn ergibt. Um gut auf dem Land zu leben, müssen alle – unabhängig vom Geschlecht – Fähigkeiten haben, wie Nahrung zuzubereiten, Kleidung herzustellen und sich selbst sowie andere zu versorgen. Nur Aufgaben zu übernehmen, die einem bestimmten Geschlecht zugewiesen werden, reicht nicht aus. Auch wenn einige Tätigkeiten oft von bestimmten Geschlechtern ausgeführt werden, können Menschen selbst entscheiden, wie viel sie diesen Rollen entsprechen wollen. In vielen Situationen ist es nötig, abseits von Geschlechterrollen zusammenzuarbeiten. </w:t>
            </w:r>
            <w:proofErr w:type="spellStart"/>
            <w:r>
              <w:rPr>
                <w:rStyle w:val="StrongEmphasis"/>
                <w:sz w:val="26"/>
                <w:szCs w:val="26"/>
              </w:rPr>
              <w:t>Two</w:t>
            </w:r>
            <w:proofErr w:type="spellEnd"/>
            <w:r>
              <w:rPr>
                <w:rStyle w:val="StrongEmphasis"/>
                <w:sz w:val="26"/>
                <w:szCs w:val="26"/>
              </w:rPr>
              <w:t>-Spirit-</w:t>
            </w:r>
            <w:r>
              <w:rPr>
                <w:sz w:val="26"/>
                <w:szCs w:val="26"/>
              </w:rPr>
              <w:t xml:space="preserve">Identitäten sind seit Langem Teil der Traditionen der </w:t>
            </w:r>
            <w:proofErr w:type="spellStart"/>
            <w:r>
              <w:rPr>
                <w:rStyle w:val="StrongEmphasis"/>
                <w:sz w:val="26"/>
                <w:szCs w:val="26"/>
              </w:rPr>
              <w:t>Nishnaabeg</w:t>
            </w:r>
            <w:proofErr w:type="spellEnd"/>
            <w:r>
              <w:rPr>
                <w:sz w:val="26"/>
                <w:szCs w:val="26"/>
              </w:rPr>
              <w:t>.</w:t>
            </w:r>
          </w:p>
        </w:tc>
      </w:tr>
      <w:tr w:rsidR="009F3EF5" w14:paraId="7B18B08F"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EB4D9E9" w14:textId="77777777" w:rsidR="009F3EF5" w:rsidRDefault="00000000">
            <w:pPr>
              <w:pStyle w:val="TableContents"/>
            </w:pPr>
            <w:r>
              <w:rPr>
                <w:sz w:val="26"/>
                <w:szCs w:val="26"/>
              </w:rPr>
              <w:t xml:space="preserve">Beispiel: In Indonesien gründeten </w:t>
            </w:r>
            <w:r>
              <w:rPr>
                <w:rStyle w:val="StrongEmphasis"/>
                <w:sz w:val="26"/>
                <w:szCs w:val="26"/>
              </w:rPr>
              <w:t>trans</w:t>
            </w:r>
            <w:r>
              <w:rPr>
                <w:sz w:val="26"/>
                <w:szCs w:val="26"/>
              </w:rPr>
              <w:t xml:space="preserve">* Frauen das Projekt </w:t>
            </w:r>
            <w:proofErr w:type="spellStart"/>
            <w:r>
              <w:rPr>
                <w:sz w:val="26"/>
                <w:szCs w:val="26"/>
              </w:rPr>
              <w:t>Sanggar</w:t>
            </w:r>
            <w:proofErr w:type="spellEnd"/>
            <w:r>
              <w:rPr>
                <w:sz w:val="26"/>
                <w:szCs w:val="26"/>
              </w:rPr>
              <w:t xml:space="preserve"> </w:t>
            </w:r>
            <w:proofErr w:type="spellStart"/>
            <w:r>
              <w:rPr>
                <w:sz w:val="26"/>
                <w:szCs w:val="26"/>
              </w:rPr>
              <w:t>Teater</w:t>
            </w:r>
            <w:proofErr w:type="spellEnd"/>
            <w:r>
              <w:rPr>
                <w:sz w:val="26"/>
                <w:szCs w:val="26"/>
              </w:rPr>
              <w:t xml:space="preserve"> </w:t>
            </w:r>
            <w:proofErr w:type="spellStart"/>
            <w:r>
              <w:rPr>
                <w:sz w:val="26"/>
                <w:szCs w:val="26"/>
              </w:rPr>
              <w:t>Seroja</w:t>
            </w:r>
            <w:proofErr w:type="spellEnd"/>
            <w:r>
              <w:rPr>
                <w:sz w:val="26"/>
                <w:szCs w:val="26"/>
              </w:rPr>
              <w:t xml:space="preserve">, um über die Klimakrise aufzuklären und die Menschen zusammenzubringen. Viele </w:t>
            </w:r>
            <w:r>
              <w:rPr>
                <w:rStyle w:val="StrongEmphasis"/>
                <w:sz w:val="26"/>
                <w:szCs w:val="26"/>
              </w:rPr>
              <w:t>trans</w:t>
            </w:r>
            <w:r>
              <w:rPr>
                <w:sz w:val="26"/>
                <w:szCs w:val="26"/>
              </w:rPr>
              <w:t xml:space="preserve">* Frauen arbeiten auf der Straße, oft in der Sexarbeit, was sie besonders anfällig für Hitze und Regen macht. Die Gruppe organisiert Filmabende, Modeschauen und Diskussionen, um das Bewusstsein zu schärfen und die Gemeinschaft zu stärken. Sie führten auch eine Umfrage in Jakarta durch: Während der Regenzeit verdienten 93 % der befragten </w:t>
            </w:r>
            <w:r>
              <w:rPr>
                <w:rStyle w:val="StrongEmphasis"/>
                <w:sz w:val="26"/>
                <w:szCs w:val="26"/>
              </w:rPr>
              <w:t>trans</w:t>
            </w:r>
            <w:r>
              <w:rPr>
                <w:sz w:val="26"/>
                <w:szCs w:val="26"/>
              </w:rPr>
              <w:t xml:space="preserve">* </w:t>
            </w:r>
            <w:r>
              <w:rPr>
                <w:sz w:val="26"/>
                <w:szCs w:val="26"/>
              </w:rPr>
              <w:lastRenderedPageBreak/>
              <w:t xml:space="preserve">Personen weniger Geld, und 72 % mussten mehr ausgeben, um zu überleben. </w:t>
            </w:r>
            <w:proofErr w:type="spellStart"/>
            <w:r>
              <w:rPr>
                <w:sz w:val="26"/>
                <w:szCs w:val="26"/>
              </w:rPr>
              <w:t>Rikky</w:t>
            </w:r>
            <w:proofErr w:type="spellEnd"/>
            <w:r>
              <w:rPr>
                <w:sz w:val="26"/>
                <w:szCs w:val="26"/>
              </w:rPr>
              <w:t xml:space="preserve">, die Leiterin der Gruppe, sagt, dass extremes Wetter zu „Krankheit, Schulden, Stress, Konflikten und mehr Gewalt“ führt. Trotz dieser Herausforderungen zeigt das Projekt, wie </w:t>
            </w:r>
            <w:r>
              <w:rPr>
                <w:rStyle w:val="StrongEmphasis"/>
                <w:sz w:val="26"/>
                <w:szCs w:val="26"/>
              </w:rPr>
              <w:t>trans</w:t>
            </w:r>
            <w:r>
              <w:rPr>
                <w:sz w:val="26"/>
                <w:szCs w:val="26"/>
              </w:rPr>
              <w:t>* Frauen mit Kreativität und Stärke ihre Probleme angehen und Lösungen finden.</w:t>
            </w:r>
          </w:p>
        </w:tc>
      </w:tr>
      <w:tr w:rsidR="009F3EF5" w14:paraId="46B57F04" w14:textId="77777777">
        <w:tblPrEx>
          <w:tblCellMar>
            <w:top w:w="0" w:type="dxa"/>
            <w:bottom w:w="0" w:type="dxa"/>
          </w:tblCellMar>
        </w:tblPrEx>
        <w:tc>
          <w:tcPr>
            <w:tcW w:w="96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D3A53F5" w14:textId="77777777" w:rsidR="009F3EF5" w:rsidRDefault="009F3EF5">
            <w:pPr>
              <w:pStyle w:val="TableContents"/>
              <w:rPr>
                <w:sz w:val="26"/>
                <w:szCs w:val="26"/>
              </w:rPr>
            </w:pPr>
          </w:p>
          <w:p w14:paraId="41B3E181" w14:textId="77777777" w:rsidR="009F3EF5" w:rsidRDefault="009F3EF5">
            <w:pPr>
              <w:pStyle w:val="TableContents"/>
              <w:rPr>
                <w:sz w:val="26"/>
                <w:szCs w:val="26"/>
              </w:rPr>
            </w:pPr>
          </w:p>
          <w:p w14:paraId="2CDEE350" w14:textId="77777777" w:rsidR="009F3EF5" w:rsidRDefault="009F3EF5">
            <w:pPr>
              <w:pStyle w:val="TableContents"/>
              <w:rPr>
                <w:sz w:val="26"/>
                <w:szCs w:val="26"/>
              </w:rPr>
            </w:pPr>
          </w:p>
          <w:p w14:paraId="7DC3388B" w14:textId="77777777" w:rsidR="009F3EF5" w:rsidRDefault="009F3EF5">
            <w:pPr>
              <w:pStyle w:val="TableContents"/>
              <w:rPr>
                <w:sz w:val="26"/>
                <w:szCs w:val="26"/>
              </w:rPr>
            </w:pPr>
          </w:p>
          <w:p w14:paraId="455D2D73" w14:textId="77777777" w:rsidR="009F3EF5" w:rsidRDefault="009F3EF5">
            <w:pPr>
              <w:pStyle w:val="TableContents"/>
              <w:rPr>
                <w:sz w:val="26"/>
                <w:szCs w:val="26"/>
              </w:rPr>
            </w:pPr>
          </w:p>
          <w:p w14:paraId="22A55F7C" w14:textId="77777777" w:rsidR="009F3EF5" w:rsidRDefault="009F3EF5">
            <w:pPr>
              <w:pStyle w:val="TableContents"/>
              <w:rPr>
                <w:sz w:val="26"/>
                <w:szCs w:val="26"/>
              </w:rPr>
            </w:pPr>
          </w:p>
          <w:p w14:paraId="3D4CCF32" w14:textId="77777777" w:rsidR="009F3EF5" w:rsidRDefault="00000000">
            <w:pPr>
              <w:pStyle w:val="TableContents"/>
            </w:pPr>
            <w:r>
              <w:rPr>
                <w:sz w:val="26"/>
                <w:szCs w:val="26"/>
              </w:rPr>
              <w:t xml:space="preserve">Beispiel: </w:t>
            </w:r>
            <w:proofErr w:type="spellStart"/>
            <w:r>
              <w:rPr>
                <w:rStyle w:val="Hervorhebung"/>
                <w:sz w:val="26"/>
                <w:szCs w:val="26"/>
              </w:rPr>
              <w:t>Sins</w:t>
            </w:r>
            <w:proofErr w:type="spellEnd"/>
            <w:r>
              <w:rPr>
                <w:rStyle w:val="Hervorhebung"/>
                <w:sz w:val="26"/>
                <w:szCs w:val="26"/>
              </w:rPr>
              <w:t xml:space="preserve"> Invalid</w:t>
            </w:r>
            <w:r>
              <w:rPr>
                <w:sz w:val="26"/>
                <w:szCs w:val="26"/>
              </w:rPr>
              <w:t xml:space="preserve"> ist eine Gruppe von behinderten Künstler*innen, die sich auf </w:t>
            </w:r>
            <w:r>
              <w:rPr>
                <w:b/>
                <w:bCs/>
                <w:sz w:val="26"/>
                <w:szCs w:val="26"/>
              </w:rPr>
              <w:t>Disability Justice</w:t>
            </w:r>
            <w:r>
              <w:rPr>
                <w:sz w:val="26"/>
                <w:szCs w:val="26"/>
              </w:rPr>
              <w:t xml:space="preserve"> und deren Verbindung zu </w:t>
            </w:r>
            <w:r>
              <w:rPr>
                <w:rStyle w:val="StrongEmphasis"/>
                <w:sz w:val="26"/>
                <w:szCs w:val="26"/>
              </w:rPr>
              <w:t>BI*PoC-</w:t>
            </w:r>
            <w:r>
              <w:rPr>
                <w:rStyle w:val="StrongEmphasis"/>
                <w:b w:val="0"/>
                <w:bCs w:val="0"/>
                <w:sz w:val="26"/>
                <w:szCs w:val="26"/>
              </w:rPr>
              <w:t>Identitäten</w:t>
            </w:r>
            <w:r>
              <w:rPr>
                <w:sz w:val="26"/>
                <w:szCs w:val="26"/>
              </w:rPr>
              <w:t xml:space="preserve">, Geschlecht und Sexualität konzentrieren. Im Jahr 2024 führten sie das Stück </w:t>
            </w:r>
            <w:proofErr w:type="spellStart"/>
            <w:r>
              <w:rPr>
                <w:sz w:val="26"/>
                <w:szCs w:val="26"/>
              </w:rPr>
              <w:t>Crips</w:t>
            </w:r>
            <w:proofErr w:type="spellEnd"/>
            <w:r>
              <w:rPr>
                <w:sz w:val="26"/>
                <w:szCs w:val="26"/>
              </w:rPr>
              <w:t xml:space="preserve"> Hearts on </w:t>
            </w:r>
            <w:proofErr w:type="spellStart"/>
            <w:r>
              <w:rPr>
                <w:sz w:val="26"/>
                <w:szCs w:val="26"/>
              </w:rPr>
              <w:t>Fire</w:t>
            </w:r>
            <w:proofErr w:type="spellEnd"/>
            <w:r>
              <w:rPr>
                <w:sz w:val="26"/>
                <w:szCs w:val="26"/>
              </w:rPr>
              <w:t xml:space="preserve"> auf, das zeigte, wie die Klimakrise behinderte queere Menschen betrifft. Die Aufführung brachte Emotionen wie Freude, Trauer und Hoffnung zum Ausdruck und zeigte, wie persönlich diese Themen für Menschen sind, die die Auswirkungen der Klimakrise besonders stark spüren. Durch diese Emotionen half das Stück, zu verstehen, dass Gefühle und Verbindung entscheidend sind, um die Klimakrise zu bekämpfen und ein besseres Leben für alle zu schaffen.</w:t>
            </w:r>
          </w:p>
        </w:tc>
      </w:tr>
    </w:tbl>
    <w:p w14:paraId="3BD68BBA" w14:textId="77777777" w:rsidR="009F3EF5" w:rsidRDefault="00000000">
      <w:pPr>
        <w:pStyle w:val="Textbody"/>
        <w:rPr>
          <w:sz w:val="26"/>
          <w:szCs w:val="26"/>
        </w:rPr>
      </w:pPr>
      <w:r>
        <w:rPr>
          <w:sz w:val="26"/>
          <w:szCs w:val="26"/>
        </w:rPr>
        <w:br/>
      </w:r>
    </w:p>
    <w:sectPr w:rsidR="009F3EF5">
      <w:headerReference w:type="default" r:id="rId6"/>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26CA" w14:textId="77777777" w:rsidR="005C7147" w:rsidRDefault="005C7147">
      <w:pPr>
        <w:spacing w:line="240" w:lineRule="auto"/>
      </w:pPr>
      <w:r>
        <w:separator/>
      </w:r>
    </w:p>
  </w:endnote>
  <w:endnote w:type="continuationSeparator" w:id="0">
    <w:p w14:paraId="27119ED4" w14:textId="77777777" w:rsidR="005C7147" w:rsidRDefault="005C71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charset w:val="00"/>
    <w:family w:val="roman"/>
    <w:pitch w:val="variable"/>
  </w:font>
  <w:font w:name="Noto Serif CJK SC">
    <w:charset w:val="00"/>
    <w:family w:val="auto"/>
    <w:pitch w:val="variable"/>
  </w:font>
  <w:font w:name="Lohit Devanagari">
    <w:altName w:val="Calibri"/>
    <w:charset w:val="00"/>
    <w:family w:val="auto"/>
    <w:pitch w:val="variable"/>
  </w:font>
  <w:font w:name="Atkinson Hyperlegible">
    <w:altName w:val="Calibri"/>
    <w:charset w:val="00"/>
    <w:family w:val="auto"/>
    <w:pitch w:val="variable"/>
  </w:font>
  <w:font w:name="Unbounded">
    <w:altName w:val="Calibri"/>
    <w:charset w:val="00"/>
    <w:family w:val="auto"/>
    <w:pitch w:val="variable"/>
  </w:font>
  <w:font w:name="Liberation Sans">
    <w:charset w:val="00"/>
    <w:family w:val="swiss"/>
    <w:pitch w:val="variable"/>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Mono">
    <w:charset w:val="00"/>
    <w:family w:val="modern"/>
    <w:pitch w:val="fixed"/>
  </w:font>
  <w:font w:name="OpenSymbol">
    <w:altName w:val="Segoe UI Symbol"/>
    <w:charset w:val="02"/>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5AA97" w14:textId="77777777" w:rsidR="00000000" w:rsidRDefault="00000000">
    <w:pPr>
      <w:pStyle w:val="Fuzeile"/>
    </w:pPr>
    <w:r>
      <w:rPr>
        <w:noProof/>
      </w:rPr>
      <w:drawing>
        <wp:anchor distT="0" distB="0" distL="114300" distR="114300" simplePos="0" relativeHeight="251662336" behindDoc="0" locked="0" layoutInCell="1" allowOverlap="1" wp14:anchorId="0D525A2D" wp14:editId="2B5A32A9">
          <wp:simplePos x="0" y="0"/>
          <wp:positionH relativeFrom="column">
            <wp:posOffset>5122440</wp:posOffset>
          </wp:positionH>
          <wp:positionV relativeFrom="paragraph">
            <wp:posOffset>79200</wp:posOffset>
          </wp:positionV>
          <wp:extent cx="1173960" cy="659160"/>
          <wp:effectExtent l="0" t="0" r="0" b="0"/>
          <wp:wrapSquare wrapText="bothSides"/>
          <wp:docPr id="1923824267"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173960" cy="659160"/>
                  </a:xfrm>
                  <a:prstGeom prst="rect">
                    <a:avLst/>
                  </a:prstGeom>
                  <a:noFill/>
                </pic:spPr>
              </pic:pic>
            </a:graphicData>
          </a:graphic>
        </wp:anchor>
      </w:drawing>
    </w:r>
  </w:p>
  <w:p w14:paraId="619E51D3" w14:textId="77777777" w:rsidR="00000000" w:rsidRDefault="00000000">
    <w:pPr>
      <w:pStyle w:val="Fuzeile"/>
    </w:pPr>
    <w:r>
      <w:rPr>
        <w:noProof/>
      </w:rPr>
      <w:drawing>
        <wp:anchor distT="0" distB="0" distL="114300" distR="114300" simplePos="0" relativeHeight="251661312" behindDoc="0" locked="0" layoutInCell="1" allowOverlap="1" wp14:anchorId="3E564DB8" wp14:editId="0FF05AE5">
          <wp:simplePos x="0" y="0"/>
          <wp:positionH relativeFrom="column">
            <wp:posOffset>3864600</wp:posOffset>
          </wp:positionH>
          <wp:positionV relativeFrom="paragraph">
            <wp:posOffset>9000</wp:posOffset>
          </wp:positionV>
          <wp:extent cx="1170360" cy="372240"/>
          <wp:effectExtent l="0" t="0" r="0" b="8760"/>
          <wp:wrapSquare wrapText="bothSides"/>
          <wp:docPr id="941872948"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170360" cy="372240"/>
                  </a:xfrm>
                  <a:prstGeom prst="rect">
                    <a:avLst/>
                  </a:prstGeom>
                  <a:noFill/>
                </pic:spPr>
              </pic:pic>
            </a:graphicData>
          </a:graphic>
        </wp:anchor>
      </w:drawing>
    </w:r>
    <w:r>
      <w:rPr>
        <w:noProof/>
      </w:rPr>
      <w:drawing>
        <wp:anchor distT="0" distB="0" distL="114300" distR="114300" simplePos="0" relativeHeight="251663360" behindDoc="0" locked="0" layoutInCell="1" allowOverlap="1" wp14:anchorId="12DBCEDF" wp14:editId="159C0606">
          <wp:simplePos x="0" y="0"/>
          <wp:positionH relativeFrom="column">
            <wp:posOffset>14760</wp:posOffset>
          </wp:positionH>
          <wp:positionV relativeFrom="paragraph">
            <wp:posOffset>42480</wp:posOffset>
          </wp:positionV>
          <wp:extent cx="803880" cy="285840"/>
          <wp:effectExtent l="19050" t="19050" r="15270" b="18960"/>
          <wp:wrapSquare wrapText="bothSides"/>
          <wp:docPr id="1645438527"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extLst>
                      <a:ext uri="{96DAC541-7B7A-43D3-8B79-37D633B846F1}">
                        <asvg:svgBlip xmlns:asvg="http://schemas.microsoft.com/office/drawing/2016/SVG/main" r:embed="rId4"/>
                      </a:ext>
                    </a:extLst>
                  </a:blip>
                  <a:srcRect/>
                  <a:stretch>
                    <a:fillRect/>
                  </a:stretch>
                </pic:blipFill>
                <pic:spPr>
                  <a:xfrm>
                    <a:off x="0" y="0"/>
                    <a:ext cx="803880" cy="285840"/>
                  </a:xfrm>
                  <a:prstGeom prst="rect">
                    <a:avLst/>
                  </a:prstGeom>
                  <a:noFill/>
                  <a:ln w="762">
                    <a:solidFill>
                      <a:srgbClr val="2A6099"/>
                    </a:solidFill>
                    <a:prstDash val="solid"/>
                  </a:ln>
                </pic:spPr>
              </pic:pic>
            </a:graphicData>
          </a:graphic>
        </wp:anchor>
      </w:drawing>
    </w: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r>
      <w:rPr>
        <w:color w:val="000000"/>
      </w:rPr>
      <w:t xml:space="preserve"> von </w:t>
    </w:r>
    <w:r>
      <w:rPr>
        <w:color w:val="000000"/>
      </w:rPr>
      <w:fldChar w:fldCharType="begin"/>
    </w:r>
    <w:r>
      <w:rPr>
        <w:color w:val="000000"/>
      </w:rPr>
      <w:instrText xml:space="preserve"> NUMPAGES </w:instrText>
    </w:r>
    <w:r>
      <w:rPr>
        <w:color w:val="000000"/>
      </w:rPr>
      <w:fldChar w:fldCharType="separate"/>
    </w:r>
    <w:r>
      <w:rPr>
        <w:color w:val="000000"/>
      </w:rPr>
      <w:t>8</w:t>
    </w:r>
    <w:r>
      <w:rPr>
        <w:color w:val="000000"/>
      </w:rPr>
      <w:fldChar w:fldCharType="end"/>
    </w:r>
  </w:p>
  <w:p w14:paraId="11B5E5F2" w14:textId="77777777" w:rsidR="00000000" w:rsidRDefault="00000000">
    <w:pPr>
      <w:pStyle w:val="Fuzeile"/>
      <w:jc w:val="right"/>
    </w:pPr>
  </w:p>
  <w:p w14:paraId="0A4323AC" w14:textId="77777777" w:rsidR="00000000" w:rsidRDefault="00000000">
    <w:pPr>
      <w:pStyle w:val="Fuzeile"/>
      <w:jc w:val="right"/>
    </w:pPr>
  </w:p>
  <w:p w14:paraId="4CBC3E26" w14:textId="77777777" w:rsidR="00000000" w:rsidRDefault="00000000">
    <w:pPr>
      <w:pStyle w:val="Fuzeile"/>
      <w:jc w:val="left"/>
    </w:pPr>
    <w:hyperlink r:id="rId5" w:history="1">
      <w:r>
        <w:rPr>
          <w:color w:val="000000"/>
        </w:rPr>
        <w:t>www.endlich-wachstum.de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CAD8" w14:textId="77777777" w:rsidR="005C7147" w:rsidRDefault="005C7147">
      <w:pPr>
        <w:spacing w:line="240" w:lineRule="auto"/>
      </w:pPr>
      <w:r>
        <w:rPr>
          <w:color w:val="000000"/>
        </w:rPr>
        <w:separator/>
      </w:r>
    </w:p>
  </w:footnote>
  <w:footnote w:type="continuationSeparator" w:id="0">
    <w:p w14:paraId="39A16DF5" w14:textId="77777777" w:rsidR="005C7147" w:rsidRDefault="005C71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849F" w14:textId="77777777" w:rsidR="00000000" w:rsidRDefault="00000000">
    <w:pPr>
      <w:pStyle w:val="AufgabeundKategorie"/>
    </w:pPr>
    <w:r>
      <w:rPr>
        <w:noProof/>
      </w:rPr>
      <mc:AlternateContent>
        <mc:Choice Requires="wps">
          <w:drawing>
            <wp:anchor distT="0" distB="0" distL="114300" distR="114300" simplePos="0" relativeHeight="251659264" behindDoc="0" locked="0" layoutInCell="1" allowOverlap="1" wp14:anchorId="0353842C" wp14:editId="36023259">
              <wp:simplePos x="0" y="0"/>
              <wp:positionH relativeFrom="column">
                <wp:posOffset>3798720</wp:posOffset>
              </wp:positionH>
              <wp:positionV relativeFrom="paragraph">
                <wp:posOffset>52200</wp:posOffset>
              </wp:positionV>
              <wp:extent cx="1886400" cy="209160"/>
              <wp:effectExtent l="0" t="0" r="18600" b="390"/>
              <wp:wrapNone/>
              <wp:docPr id="233770694" name="Text Frame 2"/>
              <wp:cNvGraphicFramePr/>
              <a:graphic xmlns:a="http://schemas.openxmlformats.org/drawingml/2006/main">
                <a:graphicData uri="http://schemas.microsoft.com/office/word/2010/wordprocessingShape">
                  <wps:wsp>
                    <wps:cNvSpPr txBox="1"/>
                    <wps:spPr>
                      <a:xfrm>
                        <a:off x="0" y="0"/>
                        <a:ext cx="1886400" cy="209160"/>
                      </a:xfrm>
                      <a:prstGeom prst="rect">
                        <a:avLst/>
                      </a:prstGeom>
                      <a:noFill/>
                      <a:ln>
                        <a:noFill/>
                      </a:ln>
                    </wps:spPr>
                    <wps:txbx>
                      <w:txbxContent>
                        <w:p w14:paraId="1D9FD2D2" w14:textId="77777777" w:rsidR="00000000" w:rsidRDefault="00000000">
                          <w:pPr>
                            <w:jc w:val="right"/>
                          </w:pPr>
                          <w:r>
                            <w:rPr>
                              <w:rFonts w:ascii="Unbounded" w:hAnsi="Unbounded"/>
                              <w:b/>
                              <w:bCs/>
                              <w:sz w:val="20"/>
                              <w:szCs w:val="20"/>
                            </w:rPr>
                            <w:t>ÖKOLOGIE</w:t>
                          </w:r>
                        </w:p>
                      </w:txbxContent>
                    </wps:txbx>
                    <wps:bodyPr vert="horz" wrap="none" lIns="0" tIns="0" rIns="0" bIns="0" compatLnSpc="0">
                      <a:noAutofit/>
                    </wps:bodyPr>
                  </wps:wsp>
                </a:graphicData>
              </a:graphic>
            </wp:anchor>
          </w:drawing>
        </mc:Choice>
        <mc:Fallback>
          <w:pict>
            <v:shapetype w14:anchorId="0353842C" id="_x0000_t202" coordsize="21600,21600" o:spt="202" path="m,l,21600r21600,l21600,xe">
              <v:stroke joinstyle="miter"/>
              <v:path gradientshapeok="t" o:connecttype="rect"/>
            </v:shapetype>
            <v:shape id="Text Frame 2" o:spid="_x0000_s1026" type="#_x0000_t202" style="position:absolute;margin-left:299.1pt;margin-top:4.1pt;width:148.55pt;height:16.4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" filled="f" stroked="f">
              <v:textbox inset="0,0,0,0">
                <w:txbxContent>
                  <w:p w14:paraId="1D9FD2D2" w14:textId="77777777" w:rsidR="00000000" w:rsidRDefault="00000000">
                    <w:pPr>
                      <w:jc w:val="right"/>
                    </w:pPr>
                    <w:r>
                      <w:rPr>
                        <w:rFonts w:ascii="Unbounded" w:hAnsi="Unbounded"/>
                        <w:b/>
                        <w:bCs/>
                        <w:sz w:val="20"/>
                        <w:szCs w:val="20"/>
                      </w:rPr>
                      <w:t>ÖKOLOGIE</w:t>
                    </w:r>
                  </w:p>
                </w:txbxContent>
              </v:textbox>
            </v:shape>
          </w:pict>
        </mc:Fallback>
      </mc:AlternateContent>
    </w:r>
    <w:r>
      <w:t>Informationskarten und Beispielkarten</w:t>
    </w:r>
  </w:p>
  <w:p w14:paraId="68AAB3BB" w14:textId="77777777" w:rsidR="00000000" w:rsidRDefault="00000000">
    <w:pPr>
      <w:pStyle w:val="TitelMethode"/>
    </w:pPr>
    <w:r>
      <w:t>Queer durch die Welt</w:t>
    </w:r>
  </w:p>
  <w:p w14:paraId="77BE0351" w14:textId="77777777" w:rsidR="00000000" w:rsidRDefault="00000000">
    <w:pPr>
      <w:pStyle w:val="UntertitelMethode"/>
    </w:pPr>
    <w:r>
      <w:t>Ein Puzzle zu Klima- und Geschlechtergerechtigkeit</w:t>
    </w:r>
  </w:p>
  <w:p w14:paraId="4F923A54" w14:textId="77777777" w:rsidR="00000000" w:rsidRDefault="00000000">
    <w:pPr>
      <w:pStyle w:val="UntertitelMethod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F3EF5"/>
    <w:rsid w:val="002233EF"/>
    <w:rsid w:val="004D3AAA"/>
    <w:rsid w:val="005C7147"/>
    <w:rsid w:val="009F3E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40E8"/>
  <w15:docId w15:val="{C72C35DD-EB7D-4235-83D8-F00CA060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3"/>
        <w:sz w:val="24"/>
        <w:szCs w:val="24"/>
        <w:lang w:val="de-D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rFonts w:ascii="Atkinson Hyperlegible" w:eastAsia="Atkinson Hyperlegible" w:hAnsi="Atkinson Hyperlegible" w:cs="Atkinson Hyperlegible"/>
    </w:rPr>
  </w:style>
  <w:style w:type="paragraph" w:styleId="berschrift1">
    <w:name w:val="heading 1"/>
    <w:basedOn w:val="Heading"/>
    <w:next w:val="Textbody"/>
    <w:uiPriority w:val="9"/>
    <w:qFormat/>
    <w:pPr>
      <w:outlineLvl w:val="0"/>
    </w:pPr>
    <w:rPr>
      <w:rFonts w:ascii="Unbounded" w:eastAsia="Noto Serif CJK SC" w:hAnsi="Unbounded"/>
      <w:b/>
      <w:bCs/>
      <w:sz w:val="48"/>
      <w:szCs w:val="48"/>
    </w:rPr>
  </w:style>
  <w:style w:type="paragraph" w:styleId="berschrift2">
    <w:name w:val="heading 2"/>
    <w:basedOn w:val="Heading"/>
    <w:next w:val="Textbody"/>
    <w:uiPriority w:val="9"/>
    <w:semiHidden/>
    <w:unhideWhenUsed/>
    <w:qFormat/>
    <w:pPr>
      <w:spacing w:before="200"/>
      <w:outlineLvl w:val="1"/>
    </w:pPr>
    <w:rPr>
      <w:rFonts w:ascii="Unbounded" w:eastAsia="Unbounded" w:hAnsi="Unbounded" w:cs="Unbounded"/>
      <w:b/>
      <w:bCs/>
      <w:sz w:val="32"/>
      <w:szCs w:val="32"/>
    </w:rPr>
  </w:style>
  <w:style w:type="paragraph" w:styleId="berschrift3">
    <w:name w:val="heading 3"/>
    <w:basedOn w:val="Heading"/>
    <w:next w:val="Textbody"/>
    <w:uiPriority w:val="9"/>
    <w:semiHidden/>
    <w:unhideWhenUsed/>
    <w:qFormat/>
    <w:pPr>
      <w:spacing w:before="140"/>
      <w:outlineLvl w:val="2"/>
    </w:pPr>
    <w:rPr>
      <w:b/>
      <w:bCs/>
    </w:rPr>
  </w:style>
  <w:style w:type="paragraph" w:styleId="berschrift4">
    <w:name w:val="heading 4"/>
    <w:basedOn w:val="Heading"/>
    <w:next w:val="Textbody"/>
    <w:uiPriority w:val="9"/>
    <w:semiHidden/>
    <w:unhideWhenUsed/>
    <w:qFormat/>
    <w:pPr>
      <w:spacing w:before="120"/>
      <w:outlineLvl w:val="3"/>
    </w:pPr>
    <w:rPr>
      <w:b/>
      <w:bCs/>
      <w:i/>
      <w:iCs/>
      <w:sz w:val="26"/>
      <w:szCs w:val="26"/>
    </w:rPr>
  </w:style>
  <w:style w:type="paragraph" w:styleId="berschrift5">
    <w:name w:val="heading 5"/>
    <w:basedOn w:val="Heading"/>
    <w:next w:val="Textbody"/>
    <w:uiPriority w:val="9"/>
    <w:semiHidden/>
    <w:unhideWhenUsed/>
    <w:qFormat/>
    <w:pPr>
      <w:spacing w:before="120" w:after="60"/>
      <w:outlineLvl w:val="4"/>
    </w:pPr>
    <w:rPr>
      <w:b/>
      <w:bCs/>
      <w:sz w:val="24"/>
      <w:szCs w:val="24"/>
    </w:rPr>
  </w:style>
  <w:style w:type="paragraph" w:styleId="berschrift6">
    <w:name w:val="heading 6"/>
    <w:basedOn w:val="Heading"/>
    <w:next w:val="Textbody"/>
    <w:uiPriority w:val="9"/>
    <w:semiHidden/>
    <w:unhideWhenUsed/>
    <w:qFormat/>
    <w:pPr>
      <w:spacing w:before="60" w:after="60"/>
      <w:outlineLvl w:val="5"/>
    </w:pPr>
    <w:rPr>
      <w:b/>
      <w:bCs/>
      <w:i/>
      <w:iCs/>
      <w:sz w:val="24"/>
      <w:szCs w:val="24"/>
    </w:rPr>
  </w:style>
  <w:style w:type="paragraph" w:styleId="berschrift7">
    <w:name w:val="heading 7"/>
    <w:basedOn w:val="Heading"/>
    <w:next w:val="Textbody"/>
    <w:pPr>
      <w:spacing w:before="60" w:after="60"/>
      <w:outlineLvl w:val="6"/>
    </w:pPr>
    <w:rPr>
      <w:rFonts w:ascii="Unbounded" w:eastAsia="Unbounded" w:hAnsi="Unbounded" w:cs="Unbounded"/>
      <w:b/>
      <w:bCs/>
      <w:sz w:val="24"/>
      <w:szCs w:val="20"/>
    </w:rPr>
  </w:style>
  <w:style w:type="paragraph" w:styleId="berschrift8">
    <w:name w:val="heading 8"/>
    <w:basedOn w:val="Heading"/>
    <w:next w:val="Textbody"/>
    <w:pPr>
      <w:spacing w:before="60" w:after="60"/>
      <w:outlineLvl w:val="7"/>
    </w:pPr>
    <w:rPr>
      <w:b/>
      <w:bCs/>
      <w:i/>
      <w:iCs/>
      <w:sz w:val="20"/>
      <w:szCs w:val="20"/>
    </w:rPr>
  </w:style>
  <w:style w:type="paragraph" w:styleId="berschrift9">
    <w:name w:val="heading 9"/>
    <w:basedOn w:val="Heading"/>
    <w:next w:val="Textbody"/>
    <w:pPr>
      <w:spacing w:before="60" w:after="60"/>
      <w:outlineLvl w:val="8"/>
    </w:pPr>
    <w:rPr>
      <w:rFonts w:ascii="Atkinson Hyperlegible" w:eastAsia="Atkinson Hyperlegible" w:hAnsi="Atkinson Hyperlegible" w:cs="Atkinson Hyperlegible"/>
      <w:b/>
      <w:bCs/>
      <w:sz w:val="24"/>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pPr>
  </w:style>
  <w:style w:type="paragraph" w:styleId="Liste">
    <w:name w:val="List"/>
    <w:basedOn w:val="Textbody"/>
    <w:rPr>
      <w:rFonts w:cs="Lohit Devanagari"/>
    </w:rPr>
  </w:style>
  <w:style w:type="paragraph" w:styleId="Beschriftung">
    <w:name w:val="caption"/>
    <w:basedOn w:val="Standard"/>
    <w:pPr>
      <w:suppressLineNumbers/>
      <w:spacing w:before="120" w:after="120"/>
    </w:pPr>
    <w:rPr>
      <w:rFonts w:cs="Lohit Devanagari"/>
      <w:i/>
      <w:iCs/>
    </w:rPr>
  </w:style>
  <w:style w:type="paragraph" w:customStyle="1" w:styleId="Index">
    <w:name w:val="Index"/>
    <w:basedOn w:val="Standard"/>
    <w:pPr>
      <w:suppressLineNumbers/>
    </w:pPr>
    <w:rPr>
      <w:rFonts w:cs="Lohit Devanagari"/>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HeaderandFooter"/>
  </w:style>
  <w:style w:type="paragraph" w:styleId="Fuzeile">
    <w:name w:val="footer"/>
    <w:basedOn w:val="HeaderandFooter"/>
    <w:pPr>
      <w:jc w:val="center"/>
    </w:pPr>
    <w:rPr>
      <w:rFonts w:ascii="Unbounded" w:eastAsia="Unbounded" w:hAnsi="Unbounded" w:cs="Unbounded"/>
      <w:sz w:val="16"/>
    </w:rPr>
  </w:style>
  <w:style w:type="paragraph" w:customStyle="1" w:styleId="ListContents">
    <w:name w:val="List Contents"/>
    <w:basedOn w:val="Standard"/>
    <w:autoRedefine/>
    <w:pPr>
      <w:ind w:left="567" w:right="567"/>
    </w:pPr>
    <w:rPr>
      <w:sz w:val="20"/>
    </w:rPr>
  </w:style>
  <w:style w:type="paragraph" w:customStyle="1" w:styleId="Firstlineindent">
    <w:name w:val="First line indent"/>
    <w:basedOn w:val="Textbody"/>
    <w:pPr>
      <w:ind w:firstLine="283"/>
    </w:pPr>
  </w:style>
  <w:style w:type="paragraph" w:customStyle="1" w:styleId="Hangingindent">
    <w:name w:val="Hanging indent"/>
    <w:basedOn w:val="Textbody"/>
    <w:pPr>
      <w:tabs>
        <w:tab w:val="left" w:pos="567"/>
      </w:tabs>
      <w:ind w:left="567" w:hanging="283"/>
    </w:pPr>
  </w:style>
  <w:style w:type="paragraph" w:customStyle="1" w:styleId="ListIndent">
    <w:name w:val="List Indent"/>
    <w:basedOn w:val="Textbody"/>
    <w:pPr>
      <w:tabs>
        <w:tab w:val="left" w:pos="2835"/>
      </w:tabs>
      <w:ind w:left="2835" w:hanging="2551"/>
    </w:pPr>
  </w:style>
  <w:style w:type="paragraph" w:customStyle="1" w:styleId="Headerleft">
    <w:name w:val="Header left"/>
    <w:basedOn w:val="Kopfzeile"/>
  </w:style>
  <w:style w:type="paragraph" w:customStyle="1" w:styleId="AufgabeundKategorie">
    <w:name w:val="Aufgabe und Kategorie"/>
    <w:basedOn w:val="Kopfzeile"/>
    <w:rPr>
      <w:rFonts w:ascii="Unbounded" w:eastAsia="Unbounded" w:hAnsi="Unbounded" w:cs="Unbounded"/>
      <w:b/>
      <w:sz w:val="20"/>
    </w:rPr>
  </w:style>
  <w:style w:type="paragraph" w:customStyle="1" w:styleId="TitelMethode">
    <w:name w:val="Titel Methode"/>
    <w:basedOn w:val="Kopfzeile"/>
    <w:rPr>
      <w:rFonts w:ascii="Unbounded" w:eastAsia="Unbounded" w:hAnsi="Unbounded" w:cs="Unbounded"/>
      <w:sz w:val="30"/>
    </w:rPr>
  </w:style>
  <w:style w:type="paragraph" w:customStyle="1" w:styleId="UntertitelMethode">
    <w:name w:val="Untertitel Methode"/>
    <w:basedOn w:val="Kopfzeile"/>
    <w:rPr>
      <w:rFonts w:ascii="Unbounded" w:eastAsia="Unbounded" w:hAnsi="Unbounded" w:cs="Unbounded"/>
      <w:sz w:val="16"/>
    </w:rPr>
  </w:style>
  <w:style w:type="paragraph" w:customStyle="1" w:styleId="Addressee">
    <w:name w:val="Addressee"/>
    <w:basedOn w:val="Standard"/>
    <w:pPr>
      <w:suppressLineNumbers/>
      <w:spacing w:after="60"/>
    </w:pPr>
  </w:style>
  <w:style w:type="paragraph" w:styleId="Anrede">
    <w:name w:val="Salutation"/>
    <w:basedOn w:val="Standard"/>
    <w:pPr>
      <w:suppressLineNumbers/>
    </w:pPr>
  </w:style>
  <w:style w:type="paragraph" w:customStyle="1" w:styleId="Endnote">
    <w:name w:val="Endnote"/>
    <w:basedOn w:val="Standard"/>
    <w:pPr>
      <w:suppressLineNumbers/>
      <w:ind w:left="340" w:hanging="340"/>
    </w:pPr>
    <w:rPr>
      <w:sz w:val="20"/>
      <w:szCs w:val="20"/>
    </w:rPr>
  </w:style>
  <w:style w:type="paragraph" w:customStyle="1" w:styleId="Footnote">
    <w:name w:val="Footnote"/>
    <w:basedOn w:val="Standard"/>
    <w:pPr>
      <w:suppressLineNumbers/>
      <w:ind w:left="340" w:hanging="340"/>
    </w:pPr>
    <w:rPr>
      <w:sz w:val="20"/>
      <w:szCs w:val="20"/>
    </w:rPr>
  </w:style>
  <w:style w:type="paragraph" w:customStyle="1" w:styleId="Framecontents">
    <w:name w:val="Frame contents"/>
    <w:basedOn w:val="Standard"/>
  </w:style>
  <w:style w:type="paragraph" w:customStyle="1" w:styleId="Headerright">
    <w:name w:val="Header right"/>
    <w:basedOn w:val="Kopfzeile"/>
    <w:pPr>
      <w:jc w:val="right"/>
    </w:pPr>
  </w:style>
  <w:style w:type="paragraph" w:customStyle="1" w:styleId="Footerleft">
    <w:name w:val="Footer left"/>
    <w:basedOn w:val="Fuzeile"/>
  </w:style>
  <w:style w:type="paragraph" w:customStyle="1" w:styleId="Footerright">
    <w:name w:val="Footer right"/>
    <w:basedOn w:val="Fuzeile"/>
    <w:pPr>
      <w:jc w:val="right"/>
    </w:pPr>
  </w:style>
  <w:style w:type="paragraph" w:customStyle="1" w:styleId="Appendix">
    <w:name w:val="Appendix"/>
    <w:basedOn w:val="Heading"/>
    <w:next w:val="Textbody"/>
    <w:pPr>
      <w:jc w:val="center"/>
    </w:pPr>
    <w:rPr>
      <w:b/>
      <w:bCs/>
      <w:sz w:val="32"/>
      <w:szCs w:val="32"/>
    </w:rPr>
  </w:style>
  <w:style w:type="paragraph" w:customStyle="1" w:styleId="Heading10">
    <w:name w:val="Heading 10"/>
    <w:basedOn w:val="Heading"/>
    <w:next w:val="Textbody"/>
    <w:pPr>
      <w:spacing w:before="60" w:after="60"/>
    </w:pPr>
    <w:rPr>
      <w:rFonts w:ascii="Unbounded" w:eastAsia="Unbounded" w:hAnsi="Unbounded" w:cs="Unbounded"/>
      <w:b/>
      <w:bCs/>
      <w:sz w:val="18"/>
      <w:szCs w:val="18"/>
    </w:rPr>
  </w:style>
  <w:style w:type="paragraph" w:styleId="Indexberschrift">
    <w:name w:val="index heading"/>
    <w:basedOn w:val="Heading"/>
    <w:pPr>
      <w:suppressLineNumbers/>
    </w:pPr>
    <w:rPr>
      <w:b/>
      <w:bCs/>
      <w:sz w:val="32"/>
      <w:szCs w:val="32"/>
    </w:rPr>
  </w:style>
  <w:style w:type="paragraph" w:customStyle="1" w:styleId="Marginalia">
    <w:name w:val="Marginalia"/>
    <w:basedOn w:val="Textbody"/>
    <w:pPr>
      <w:ind w:left="2268"/>
    </w:pPr>
  </w:style>
  <w:style w:type="paragraph" w:customStyle="1" w:styleId="Textbodyindent">
    <w:name w:val="Text body indent"/>
    <w:basedOn w:val="Textbody"/>
    <w:pPr>
      <w:ind w:left="283"/>
    </w:pPr>
  </w:style>
  <w:style w:type="paragraph" w:customStyle="1" w:styleId="BibliographyHeading">
    <w:name w:val="Bibliography Heading"/>
    <w:basedOn w:val="Indexberschrift"/>
  </w:style>
  <w:style w:type="paragraph" w:customStyle="1" w:styleId="ContentsHeading">
    <w:name w:val="Contents Heading"/>
    <w:basedOn w:val="Indexberschrift"/>
  </w:style>
  <w:style w:type="paragraph" w:customStyle="1" w:styleId="Drawing">
    <w:name w:val="Drawing"/>
    <w:basedOn w:val="Beschriftung"/>
  </w:style>
  <w:style w:type="paragraph" w:customStyle="1" w:styleId="Figure">
    <w:name w:val="Figure"/>
    <w:basedOn w:val="Beschriftung"/>
  </w:style>
  <w:style w:type="paragraph" w:customStyle="1" w:styleId="FigureIndexHeading">
    <w:name w:val="Figure Index Heading"/>
    <w:basedOn w:val="Indexberschrift"/>
  </w:style>
  <w:style w:type="paragraph" w:customStyle="1" w:styleId="Illustration">
    <w:name w:val="Illustration"/>
    <w:basedOn w:val="Beschriftung"/>
  </w:style>
  <w:style w:type="paragraph" w:customStyle="1" w:styleId="TableContents">
    <w:name w:val="Table Contents"/>
    <w:basedOn w:val="Standard"/>
    <w:pPr>
      <w:widowControl w:val="0"/>
      <w:suppressLineNumbers/>
    </w:pPr>
  </w:style>
  <w:style w:type="paragraph" w:styleId="Unterschrift">
    <w:name w:val="Signature"/>
    <w:basedOn w:val="Standard"/>
    <w:pPr>
      <w:suppressLineNumbers/>
    </w:pPr>
  </w:style>
  <w:style w:type="paragraph" w:customStyle="1" w:styleId="Sender">
    <w:name w:val="Sender"/>
    <w:basedOn w:val="Standard"/>
    <w:pPr>
      <w:suppressLineNumbers/>
      <w:spacing w:after="60"/>
    </w:pPr>
  </w:style>
  <w:style w:type="paragraph" w:customStyle="1" w:styleId="Quotations">
    <w:name w:val="Quotations"/>
    <w:basedOn w:val="Standard"/>
    <w:pPr>
      <w:spacing w:after="283"/>
      <w:ind w:left="567" w:right="567"/>
    </w:pPr>
  </w:style>
  <w:style w:type="paragraph" w:customStyle="1" w:styleId="PreformattedText">
    <w:name w:val="Preformatted Text"/>
    <w:basedOn w:val="Standard"/>
    <w:rPr>
      <w:rFonts w:ascii="Liberation Mono" w:eastAsia="Liberation Mono" w:hAnsi="Liberation Mono" w:cs="Liberation Mono"/>
      <w:sz w:val="20"/>
      <w:szCs w:val="20"/>
    </w:rPr>
  </w:style>
  <w:style w:type="paragraph" w:customStyle="1" w:styleId="ListHeading">
    <w:name w:val="List Heading"/>
    <w:basedOn w:val="Standard"/>
    <w:next w:val="ListContents"/>
  </w:style>
  <w:style w:type="paragraph" w:customStyle="1" w:styleId="HorizontalLine">
    <w:name w:val="Horizontal Line"/>
    <w:basedOn w:val="Standard"/>
    <w:next w:val="Textbody"/>
    <w:pPr>
      <w:suppressLineNumbers/>
      <w:spacing w:after="283"/>
    </w:pPr>
    <w:rPr>
      <w:sz w:val="12"/>
      <w:szCs w:val="12"/>
    </w:rPr>
  </w:style>
  <w:style w:type="paragraph" w:styleId="Untertitel">
    <w:name w:val="Subtitle"/>
    <w:basedOn w:val="Heading"/>
    <w:next w:val="Textbody"/>
    <w:uiPriority w:val="11"/>
    <w:qFormat/>
    <w:pPr>
      <w:spacing w:before="60"/>
      <w:jc w:val="center"/>
    </w:pPr>
    <w:rPr>
      <w:sz w:val="36"/>
      <w:szCs w:val="36"/>
    </w:rPr>
  </w:style>
  <w:style w:type="paragraph" w:styleId="Titel">
    <w:name w:val="Title"/>
    <w:basedOn w:val="Heading"/>
    <w:next w:val="Textbody"/>
    <w:uiPriority w:val="10"/>
    <w:qFormat/>
    <w:pPr>
      <w:jc w:val="center"/>
    </w:pPr>
    <w:rPr>
      <w:b/>
      <w:bCs/>
      <w:sz w:val="56"/>
      <w:szCs w:val="56"/>
    </w:rPr>
  </w:style>
  <w:style w:type="paragraph" w:customStyle="1" w:styleId="Quellen">
    <w:name w:val="Quellen"/>
    <w:basedOn w:val="Textbody"/>
    <w:pPr>
      <w:tabs>
        <w:tab w:val="left" w:pos="567"/>
      </w:tabs>
    </w:pPr>
    <w:rPr>
      <w:sz w:val="16"/>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VisitedInternetLink">
    <w:name w:val="Visited Internet Link"/>
    <w:rPr>
      <w:color w:val="800000"/>
      <w:u w:val="single"/>
      <w:lang/>
    </w:rPr>
  </w:style>
  <w:style w:type="character" w:customStyle="1" w:styleId="Linenumbering">
    <w:name w:val="Line numbering"/>
  </w:style>
  <w:style w:type="character" w:customStyle="1" w:styleId="StrongEmphasis">
    <w:name w:val="Strong Emphasis"/>
    <w:rPr>
      <w:b/>
      <w:bCs/>
    </w:rPr>
  </w:style>
  <w:style w:type="character" w:styleId="Hervorhebung">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endlich-wachstum.de/" TargetMode="External"/><Relationship Id="rId4" Type="http://schemas.openxmlformats.org/officeDocument/2006/relationships/image" Target="media/image4.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9558</Characters>
  <Application>Microsoft Office Word</Application>
  <DocSecurity>0</DocSecurity>
  <Lines>79</Lines>
  <Paragraphs>22</Paragraphs>
  <ScaleCrop>false</ScaleCrop>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Katharina Ehrke</cp:lastModifiedBy>
  <cp:revision>2</cp:revision>
  <cp:lastPrinted>2025-09-29T14:12:00Z</cp:lastPrinted>
  <dcterms:created xsi:type="dcterms:W3CDTF">2025-09-29T14:13:00Z</dcterms:created>
  <dcterms:modified xsi:type="dcterms:W3CDTF">2025-09-29T14:13:00Z</dcterms:modified>
</cp:coreProperties>
</file>