
<file path=[Content_Types].xml><?xml version="1.0" encoding="utf-8"?>
<Types xmlns="http://schemas.openxmlformats.org/package/2006/content-types">
  <Default Extension="png" ContentType="image/png"/>
  <Default Extension="svg" ContentType="image/svg+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215498851" w:displacedByCustomXml="next"/>
    <w:sdt>
      <w:sdtPr>
        <w:id w:val="-1236695547"/>
        <w:placeholder>
          <w:docPart w:val="68C02F65D9509A47B434398E7C9BE828"/>
        </w:placeholder>
        <w:comboBox>
          <w:listItem w:displayText=" Deutsch " w:value=" Deutsch "/>
          <w:listItem w:displayText=" Fremdsprachen " w:value=" Fremdsprachen "/>
          <w:listItem w:displayText=" Gesellschaftswissenschaften " w:value=" Gesellschaftswissenschaften "/>
          <w:listItem w:displayText=" Mathematik, Informatik, Naturwissenschaften, Technik (MINT) " w:value=" Mathematik, Informatik, Naturwissenschaften, Technik (MINT) "/>
          <w:listItem w:displayText=" Musische Fächer " w:value=" Musische Fächer "/>
          <w:listItem w:displayText=" Religion, Philosophie, Ethik " w:value=" Religion, Philosophie, Ethik "/>
          <w:listItem w:displayText=" Sport " w:value=" Sport "/>
          <w:listItem w:displayText=" Sonstiges " w:value=" Sonstiges "/>
        </w:comboBox>
      </w:sdtPr>
      <w:sdtEndPr/>
      <w:sdtContent>
        <w:p w14:paraId="52553EFB" w14:textId="028ADE3A" w:rsidR="000904F1" w:rsidRPr="00C141F8" w:rsidRDefault="00922E17" w:rsidP="001B62F3">
          <w:pPr>
            <w:pStyle w:val="Listenfeld"/>
          </w:pPr>
          <w:r w:rsidRPr="00C141F8">
            <w:t> Deutsch </w:t>
          </w:r>
        </w:p>
      </w:sdtContent>
    </w:sdt>
    <w:p w14:paraId="1E5807D8" w14:textId="617349A1" w:rsidR="00A02C87" w:rsidRPr="00A02C87" w:rsidRDefault="000B2D6C" w:rsidP="000B2D6C">
      <w:pPr>
        <w:pStyle w:val="berschrift1"/>
        <w:rPr>
          <w:noProof/>
        </w:rPr>
      </w:pPr>
      <w:r>
        <w:rPr>
          <w:noProof/>
        </w:rPr>
        <w:t xml:space="preserve">Szenario </w:t>
      </w:r>
      <w:r w:rsidR="001907F8">
        <w:rPr>
          <w:noProof/>
        </w:rPr>
        <w:t>für</w:t>
      </w:r>
      <w:r>
        <w:rPr>
          <w:noProof/>
        </w:rPr>
        <w:t xml:space="preserve"> </w:t>
      </w:r>
      <w:r w:rsidR="00D00F5B" w:rsidRPr="00D00F5B">
        <w:rPr>
          <w:noProof/>
        </w:rPr>
        <w:t>Virtual</w:t>
      </w:r>
      <w:r>
        <w:rPr>
          <w:noProof/>
        </w:rPr>
        <w:t>-</w:t>
      </w:r>
      <w:r w:rsidR="00D00F5B" w:rsidRPr="00D00F5B">
        <w:rPr>
          <w:noProof/>
        </w:rPr>
        <w:t>Reality</w:t>
      </w:r>
      <w:r>
        <w:rPr>
          <w:noProof/>
        </w:rPr>
        <w:t>-</w:t>
      </w:r>
      <w:r w:rsidR="00D00F5B" w:rsidRPr="00D00F5B">
        <w:rPr>
          <w:noProof/>
        </w:rPr>
        <w:t>Tischtennis im Sportunterricht</w:t>
      </w:r>
    </w:p>
    <w:p w14:paraId="6871BCF4" w14:textId="4241FA7A" w:rsidR="00425DF3" w:rsidRDefault="00593B1E" w:rsidP="00593B1E">
      <w:pPr>
        <w:pStyle w:val="StandardEinzug"/>
        <w:ind w:left="0"/>
      </w:pPr>
      <w:r>
        <w:t>Die Fortbildung soll Lehrkräften Grundlagen im Umgang mit VR-Tischtennis im Schulkontext vermitteln sowie didaktische Einsatzmöglichkeiten aufzeigen. Das Format wurde als In-House-Schulung konzipiert, bei der die Inhalte in einer Doppelstunde (90 Minuten) im regulären Sportunterricht für interessierte Lehrkräfte demonstriert werden. Inhaltlich wird das Problem der Ballrotation und die Orientierung des Schlägerblatts bei unterschiedlichen Schnittarten thematisiert. VR soll hierbei im Stationsbetrieb eingesetzt werden, was Chancen für Differenzierung in Schwierigkeit und Themenwahl ermöglicht: So können beispielsweise auch anspruchsvollere Probleme wie Sidespin aufgrund hoher Wiederholungszahlen in VR angeboten werden.</w:t>
      </w:r>
    </w:p>
    <w:p w14:paraId="6E6AC3AA" w14:textId="77777777" w:rsidR="00425DF3" w:rsidRPr="00425DF3" w:rsidRDefault="00425DF3" w:rsidP="00425DF3"/>
    <w:p w14:paraId="10E14799" w14:textId="77777777" w:rsidR="00425DF3" w:rsidRPr="00425DF3" w:rsidRDefault="00425DF3" w:rsidP="00425DF3">
      <w:pPr>
        <w:pStyle w:val="StandardBold"/>
        <w:rPr>
          <w:noProof/>
        </w:rPr>
      </w:pPr>
      <w:r w:rsidRPr="00425DF3">
        <w:rPr>
          <w:noProof/>
        </w:rPr>
        <w:t xml:space="preserve">Autor:innen </w:t>
      </w:r>
    </w:p>
    <w:p w14:paraId="19A36142" w14:textId="6A486680" w:rsidR="00D00F5B" w:rsidRPr="00D00F5B" w:rsidRDefault="00D00F5B" w:rsidP="00D00F5B">
      <w:pPr>
        <w:rPr>
          <w:noProof/>
        </w:rPr>
      </w:pPr>
      <w:r>
        <w:rPr>
          <w:noProof/>
        </w:rPr>
        <w:t>Greiner</w:t>
      </w:r>
      <w:r w:rsidR="00425DF3">
        <w:rPr>
          <w:noProof/>
        </w:rPr>
        <w:t xml:space="preserve">, </w:t>
      </w:r>
      <w:r>
        <w:rPr>
          <w:noProof/>
        </w:rPr>
        <w:t>J</w:t>
      </w:r>
      <w:r w:rsidR="00425DF3">
        <w:rPr>
          <w:noProof/>
        </w:rPr>
        <w:t xml:space="preserve">., </w:t>
      </w:r>
      <w:r w:rsidRPr="00D00F5B">
        <w:rPr>
          <w:noProof/>
        </w:rPr>
        <w:t>Institut für Schulpädagogik und Didaktik (ISD)</w:t>
      </w:r>
      <w:r w:rsidR="00425DF3">
        <w:rPr>
          <w:noProof/>
        </w:rPr>
        <w:t xml:space="preserve">, </w:t>
      </w:r>
      <w:r>
        <w:rPr>
          <w:noProof/>
        </w:rPr>
        <w:t>Karlsruher Institut für Technologie</w:t>
      </w:r>
      <w:r w:rsidR="00425DF3">
        <w:rPr>
          <w:noProof/>
        </w:rPr>
        <w:t>|</w:t>
      </w:r>
      <w:r w:rsidR="00593B1E">
        <w:rPr>
          <w:noProof/>
        </w:rPr>
        <w:t xml:space="preserve">Prof Dr. </w:t>
      </w:r>
      <w:r>
        <w:rPr>
          <w:noProof/>
        </w:rPr>
        <w:t>Wagner</w:t>
      </w:r>
      <w:r w:rsidR="00425DF3">
        <w:rPr>
          <w:noProof/>
        </w:rPr>
        <w:t xml:space="preserve">, </w:t>
      </w:r>
      <w:r>
        <w:rPr>
          <w:noProof/>
        </w:rPr>
        <w:t>I</w:t>
      </w:r>
      <w:r w:rsidR="00425DF3">
        <w:rPr>
          <w:noProof/>
        </w:rPr>
        <w:t xml:space="preserve">., </w:t>
      </w:r>
      <w:r w:rsidRPr="00D00F5B">
        <w:rPr>
          <w:noProof/>
        </w:rPr>
        <w:t>Institut für Kunst, Musik und Sport</w:t>
      </w:r>
      <w:r w:rsidR="005947A8">
        <w:rPr>
          <w:noProof/>
        </w:rPr>
        <w:t>,</w:t>
      </w:r>
      <w:r>
        <w:rPr>
          <w:noProof/>
        </w:rPr>
        <w:t xml:space="preserve"> </w:t>
      </w:r>
      <w:r w:rsidRPr="00D00F5B">
        <w:rPr>
          <w:noProof/>
        </w:rPr>
        <w:t>Pädagogische Hochschule Ludwigsburg</w:t>
      </w:r>
    </w:p>
    <w:p w14:paraId="4CAB07B0" w14:textId="77777777" w:rsidR="00425DF3" w:rsidRDefault="00425DF3" w:rsidP="00425DF3">
      <w:pPr>
        <w:rPr>
          <w:noProof/>
        </w:rPr>
      </w:pPr>
    </w:p>
    <w:p w14:paraId="5852D70F" w14:textId="77777777" w:rsidR="00425DF3" w:rsidRDefault="00425DF3" w:rsidP="00425DF3">
      <w:pPr>
        <w:pStyle w:val="StandardBold"/>
        <w:rPr>
          <w:noProof/>
        </w:rPr>
      </w:pPr>
      <w:r>
        <w:rPr>
          <w:noProof/>
        </w:rPr>
        <w:t xml:space="preserve">Produkttyp </w:t>
      </w:r>
    </w:p>
    <w:p w14:paraId="7D113868" w14:textId="4D303BAD" w:rsidR="00425DF3" w:rsidRDefault="00425DF3" w:rsidP="00425DF3">
      <w:pPr>
        <w:rPr>
          <w:noProof/>
        </w:rPr>
      </w:pPr>
      <w:r>
        <w:rPr>
          <w:noProof/>
        </w:rPr>
        <w:t>Fortbildungskonzept</w:t>
      </w:r>
    </w:p>
    <w:p w14:paraId="18ADE572" w14:textId="77777777" w:rsidR="00425DF3" w:rsidRDefault="00425DF3" w:rsidP="00425DF3">
      <w:pPr>
        <w:rPr>
          <w:noProof/>
        </w:rPr>
      </w:pPr>
    </w:p>
    <w:p w14:paraId="6247FD09" w14:textId="359C3C7F" w:rsidR="00425DF3" w:rsidRDefault="00BC3566" w:rsidP="00425DF3">
      <w:pPr>
        <w:pStyle w:val="StandardBold"/>
        <w:rPr>
          <w:noProof/>
        </w:rPr>
      </w:pPr>
      <w:r>
        <w:rPr>
          <w:noProof/>
        </w:rPr>
        <w:t>Schulstufe</w:t>
      </w:r>
    </w:p>
    <w:p w14:paraId="7EC32C11" w14:textId="0592C142" w:rsidR="0086323E" w:rsidRDefault="0060432A" w:rsidP="00425DF3">
      <w:pPr>
        <w:rPr>
          <w:noProof/>
          <w:color w:val="FF0000"/>
        </w:rPr>
      </w:pPr>
      <w:r w:rsidRPr="00593B1E">
        <w:rPr>
          <w:noProof/>
          <w:color w:val="auto"/>
        </w:rPr>
        <w:t>Sekundarstufe II</w:t>
      </w:r>
    </w:p>
    <w:p w14:paraId="6A0CC47C" w14:textId="1070648F" w:rsidR="00EE4B26" w:rsidRDefault="00EE4B26" w:rsidP="00425DF3">
      <w:pPr>
        <w:rPr>
          <w:noProof/>
        </w:rPr>
      </w:pPr>
      <w:r>
        <w:rPr>
          <w:noProof/>
        </w:rPr>
        <w:br w:type="page"/>
      </w:r>
    </w:p>
    <w:p w14:paraId="79B6A956" w14:textId="77777777" w:rsidR="00EE4B26" w:rsidRDefault="00EE4B26" w:rsidP="00425DF3">
      <w:pPr>
        <w:rPr>
          <w:noProof/>
        </w:rPr>
        <w:sectPr w:rsidR="00EE4B26" w:rsidSect="00EE4B26">
          <w:headerReference w:type="default" r:id="rId8"/>
          <w:footerReference w:type="default" r:id="rId9"/>
          <w:pgSz w:w="11906" w:h="16838"/>
          <w:pgMar w:top="3345" w:right="1418" w:bottom="4253" w:left="1418" w:header="709" w:footer="709" w:gutter="0"/>
          <w:cols w:space="708"/>
          <w:docGrid w:linePitch="360"/>
        </w:sectPr>
      </w:pPr>
    </w:p>
    <w:p w14:paraId="40FD7E6E" w14:textId="77777777" w:rsidR="005947A8" w:rsidRPr="000B4C6A" w:rsidRDefault="005947A8" w:rsidP="005947A8">
      <w:pPr>
        <w:pStyle w:val="berschrift1"/>
      </w:pPr>
      <w:bookmarkStart w:id="3" w:name="_Toc215498676"/>
      <w:r w:rsidRPr="000B4C6A">
        <w:lastRenderedPageBreak/>
        <w:t>Einführendes Dokument / Überblick</w:t>
      </w:r>
      <w:bookmarkEnd w:id="3"/>
    </w:p>
    <w:p w14:paraId="113B47DE" w14:textId="77777777" w:rsidR="00503CD4" w:rsidRDefault="005947A8" w:rsidP="00503CD4">
      <w:pPr>
        <w:pStyle w:val="berschrift2"/>
      </w:pPr>
      <w:bookmarkStart w:id="4" w:name="_Toc215497454"/>
      <w:bookmarkStart w:id="5" w:name="_Toc215498677"/>
      <w:r w:rsidRPr="000B4C6A">
        <w:t>Titel der Fortbildung</w:t>
      </w:r>
      <w:bookmarkStart w:id="6" w:name="_Toc215497455"/>
      <w:bookmarkStart w:id="7" w:name="_Toc215498678"/>
      <w:bookmarkEnd w:id="4"/>
      <w:bookmarkEnd w:id="5"/>
    </w:p>
    <w:p w14:paraId="2C30CCD5" w14:textId="09D6D1CC" w:rsidR="00503CD4" w:rsidRPr="00503CD4" w:rsidRDefault="00503CD4" w:rsidP="00503CD4">
      <w:pPr>
        <w:pStyle w:val="berschrift2"/>
        <w:rPr>
          <w:color w:val="auto"/>
          <w:sz w:val="24"/>
        </w:rPr>
      </w:pPr>
      <w:r w:rsidRPr="00503CD4">
        <w:rPr>
          <w:noProof/>
          <w:color w:val="auto"/>
          <w:sz w:val="24"/>
        </w:rPr>
        <w:t>Szenario für Virtual-Reality-Tischtennis im Sportunterricht</w:t>
      </w:r>
    </w:p>
    <w:p w14:paraId="7BCA984F" w14:textId="42602F97" w:rsidR="005947A8" w:rsidRDefault="005947A8" w:rsidP="005947A8">
      <w:pPr>
        <w:pStyle w:val="berschrift2"/>
      </w:pPr>
      <w:r w:rsidRPr="000B4C6A">
        <w:t>Gesamtkonzept der Fortbildung</w:t>
      </w:r>
      <w:bookmarkEnd w:id="6"/>
      <w:bookmarkEnd w:id="7"/>
    </w:p>
    <w:p w14:paraId="3B19B977" w14:textId="45992B41" w:rsidR="008D55B5" w:rsidRPr="008D55B5" w:rsidRDefault="008D55B5" w:rsidP="008D55B5">
      <w:pPr>
        <w:pStyle w:val="StandardWeb"/>
        <w:rPr>
          <w:rFonts w:asciiTheme="majorHAnsi" w:hAnsiTheme="majorHAnsi" w:cstheme="majorHAnsi"/>
          <w:lang w:val="de-DE"/>
        </w:rPr>
      </w:pPr>
      <w:r w:rsidRPr="008D55B5">
        <w:rPr>
          <w:rFonts w:asciiTheme="majorHAnsi" w:hAnsiTheme="majorHAnsi" w:cstheme="majorHAnsi"/>
          <w:lang w:val="de-DE"/>
        </w:rPr>
        <w:t xml:space="preserve">Die Fortbildung wurde im Rahmen einer Fortbildungsreihe </w:t>
      </w:r>
      <w:r w:rsidR="001E7A57">
        <w:rPr>
          <w:rFonts w:asciiTheme="majorHAnsi" w:hAnsiTheme="majorHAnsi" w:cstheme="majorHAnsi"/>
          <w:lang w:val="de-DE"/>
        </w:rPr>
        <w:t>am Standort Karlsruhe entwickelt.</w:t>
      </w:r>
      <w:r w:rsidRPr="008D55B5">
        <w:rPr>
          <w:rFonts w:asciiTheme="majorHAnsi" w:hAnsiTheme="majorHAnsi" w:cstheme="majorHAnsi"/>
          <w:lang w:val="de-DE"/>
        </w:rPr>
        <w:t xml:space="preserve"> Aufgrund von Vorerfahrungen im Fachbereich Sport wurde sie als Inhouse-Schulung konzipiert, um Lehrkräften ein niederschwelliges und praxisnahes Angebot zu machen. Die Kernidee ist hierbei, die Lerninhalte und ihre didaktische Aufbereitung gemeinsam mit Schüler</w:t>
      </w:r>
      <w:r w:rsidR="00F0616A">
        <w:rPr>
          <w:rFonts w:asciiTheme="majorHAnsi" w:hAnsiTheme="majorHAnsi" w:cstheme="majorHAnsi"/>
          <w:lang w:val="de-DE"/>
        </w:rPr>
        <w:t>*</w:t>
      </w:r>
      <w:r w:rsidRPr="008D55B5">
        <w:rPr>
          <w:rStyle w:val="Hervorhebung"/>
          <w:rFonts w:asciiTheme="majorHAnsi" w:eastAsiaTheme="majorEastAsia" w:hAnsiTheme="majorHAnsi" w:cstheme="majorHAnsi"/>
          <w:i w:val="0"/>
          <w:lang w:val="de-DE"/>
        </w:rPr>
        <w:t>innen im Sportunterricht durchzuführen – hier können neben der Lehrkraft weitere Interessent*</w:t>
      </w:r>
      <w:r w:rsidRPr="008D55B5">
        <w:rPr>
          <w:rFonts w:asciiTheme="majorHAnsi" w:hAnsiTheme="majorHAnsi" w:cstheme="majorHAnsi"/>
          <w:lang w:val="de-DE"/>
        </w:rPr>
        <w:t>innen</w:t>
      </w:r>
      <w:r w:rsidRPr="008D55B5">
        <w:rPr>
          <w:rFonts w:asciiTheme="majorHAnsi" w:hAnsiTheme="majorHAnsi" w:cstheme="majorHAnsi"/>
          <w:i/>
          <w:lang w:val="de-DE"/>
        </w:rPr>
        <w:t xml:space="preserve"> </w:t>
      </w:r>
      <w:r w:rsidRPr="008D55B5">
        <w:rPr>
          <w:rFonts w:asciiTheme="majorHAnsi" w:hAnsiTheme="majorHAnsi" w:cstheme="majorHAnsi"/>
          <w:lang w:val="de-DE"/>
        </w:rPr>
        <w:t>hinzukommen. Dies bietet insbesondere die Möglichkeit, Fragen und Erfahrungen sowohl von Schüler*innen als auch von Lehrkräften direkt zu adressieren.</w:t>
      </w:r>
    </w:p>
    <w:p w14:paraId="64ECEDBC" w14:textId="6CACAFEC" w:rsidR="008D55B5" w:rsidRPr="008D55B5" w:rsidRDefault="008D55B5" w:rsidP="008D55B5">
      <w:pPr>
        <w:pStyle w:val="StandardWeb"/>
        <w:rPr>
          <w:rFonts w:asciiTheme="majorHAnsi" w:hAnsiTheme="majorHAnsi" w:cstheme="majorHAnsi"/>
          <w:lang w:val="de-DE"/>
        </w:rPr>
      </w:pPr>
      <w:r w:rsidRPr="008D55B5">
        <w:rPr>
          <w:rFonts w:asciiTheme="majorHAnsi" w:hAnsiTheme="majorHAnsi" w:cstheme="majorHAnsi"/>
          <w:lang w:val="de-DE"/>
        </w:rPr>
        <w:t xml:space="preserve">Zeitlich umfasst das Angebot eine Doppelstunde (90 Minuten). Es wird vorzugsweise die Sekundarstufe II adressiert, was sich weniger durch die Inhalte und das Medium, sondern vielmehr durch die organisationalen Hürden von VR-Tischtennis im Sportunterricht ergibt. Bei kleineren Klassengrößen und unter guten Bedingungen kann das Angebot aber auch in unteren Stufen durchgeführt werden. Da das Thema VR </w:t>
      </w:r>
      <w:r w:rsidR="00226698">
        <w:rPr>
          <w:rFonts w:asciiTheme="majorHAnsi" w:hAnsiTheme="majorHAnsi" w:cstheme="majorHAnsi"/>
          <w:lang w:val="de-DE"/>
        </w:rPr>
        <w:t>noch neu ist</w:t>
      </w:r>
      <w:r w:rsidRPr="008D55B5">
        <w:rPr>
          <w:rFonts w:asciiTheme="majorHAnsi" w:hAnsiTheme="majorHAnsi" w:cstheme="majorHAnsi"/>
          <w:lang w:val="de-DE"/>
        </w:rPr>
        <w:t>, werden vor allem sogenannte „Early Adopters“ adressiert, also Lehrkräfte, die offen und interessiert für digitale Innovationen sind.</w:t>
      </w:r>
    </w:p>
    <w:p w14:paraId="70692786" w14:textId="6C3E2E47" w:rsidR="008D55B5" w:rsidRPr="008D55B5" w:rsidRDefault="008D55B5" w:rsidP="008D55B5">
      <w:pPr>
        <w:pStyle w:val="StandardWeb"/>
        <w:rPr>
          <w:rFonts w:asciiTheme="majorHAnsi" w:hAnsiTheme="majorHAnsi" w:cstheme="majorHAnsi"/>
          <w:lang w:val="de-DE"/>
        </w:rPr>
      </w:pPr>
      <w:r w:rsidRPr="008D55B5">
        <w:rPr>
          <w:rFonts w:asciiTheme="majorHAnsi" w:hAnsiTheme="majorHAnsi" w:cstheme="majorHAnsi"/>
          <w:lang w:val="de-DE"/>
        </w:rPr>
        <w:t>Inhaltlich werden zwei Schwerpunkte verfolgt: Zunächst erfolgt eine Instruktion</w:t>
      </w:r>
      <w:r w:rsidR="001E7A57">
        <w:rPr>
          <w:rFonts w:asciiTheme="majorHAnsi" w:hAnsiTheme="majorHAnsi" w:cstheme="majorHAnsi"/>
          <w:lang w:val="de-DE"/>
        </w:rPr>
        <w:t>s-</w:t>
      </w:r>
      <w:r w:rsidRPr="008D55B5">
        <w:rPr>
          <w:rFonts w:asciiTheme="majorHAnsi" w:hAnsiTheme="majorHAnsi" w:cstheme="majorHAnsi"/>
          <w:lang w:val="de-DE"/>
        </w:rPr>
        <w:t xml:space="preserve"> und Probephase in Partner</w:t>
      </w:r>
      <w:r w:rsidR="001E7A57">
        <w:rPr>
          <w:rFonts w:asciiTheme="majorHAnsi" w:hAnsiTheme="majorHAnsi" w:cstheme="majorHAnsi"/>
          <w:lang w:val="de-DE"/>
        </w:rPr>
        <w:t>*</w:t>
      </w:r>
      <w:r w:rsidRPr="008D55B5">
        <w:rPr>
          <w:rStyle w:val="Hervorhebung"/>
          <w:rFonts w:asciiTheme="majorHAnsi" w:eastAsiaTheme="majorEastAsia" w:hAnsiTheme="majorHAnsi" w:cstheme="majorHAnsi"/>
          <w:i w:val="0"/>
          <w:lang w:val="de-DE"/>
        </w:rPr>
        <w:t>innenarbeit, bei der die Bedienung der VR-Brille und der VR-Tischtennis-Anwendung erprobt wird. Am Ende können die Schüler</w:t>
      </w:r>
      <w:r w:rsidRPr="008D55B5">
        <w:rPr>
          <w:rStyle w:val="Hervorhebung"/>
          <w:rFonts w:asciiTheme="majorHAnsi" w:eastAsiaTheme="majorEastAsia" w:hAnsiTheme="majorHAnsi" w:cstheme="majorHAnsi"/>
          <w:lang w:val="de-DE"/>
        </w:rPr>
        <w:t>*</w:t>
      </w:r>
      <w:r w:rsidRPr="008D55B5">
        <w:rPr>
          <w:rFonts w:asciiTheme="majorHAnsi" w:hAnsiTheme="majorHAnsi" w:cstheme="majorHAnsi"/>
          <w:lang w:val="de-DE"/>
        </w:rPr>
        <w:t xml:space="preserve">innen die umfangreichen Funktionen – Ballmaschine, KI-Gegner oder Spiegelfunktion – selbstständig testen, und erste Erfahrungen können gemeinsam reflektiert werden. Im zweiten Teil wird dann ein Stationskonzept zum Lernen </w:t>
      </w:r>
      <w:r w:rsidR="001E7A57">
        <w:rPr>
          <w:rFonts w:asciiTheme="majorHAnsi" w:hAnsiTheme="majorHAnsi" w:cstheme="majorHAnsi"/>
          <w:lang w:val="de-DE"/>
        </w:rPr>
        <w:t>über</w:t>
      </w:r>
      <w:r w:rsidRPr="008D55B5">
        <w:rPr>
          <w:rFonts w:asciiTheme="majorHAnsi" w:hAnsiTheme="majorHAnsi" w:cstheme="majorHAnsi"/>
          <w:lang w:val="de-DE"/>
        </w:rPr>
        <w:t xml:space="preserve"> </w:t>
      </w:r>
      <w:r w:rsidRPr="001E7A57">
        <w:rPr>
          <w:rFonts w:asciiTheme="majorHAnsi" w:hAnsiTheme="majorHAnsi" w:cstheme="majorHAnsi"/>
          <w:i/>
          <w:lang w:val="de-DE"/>
        </w:rPr>
        <w:t>Wahrnehmung und Kontrolle von Rotation</w:t>
      </w:r>
      <w:r w:rsidRPr="008D55B5">
        <w:rPr>
          <w:rFonts w:asciiTheme="majorHAnsi" w:hAnsiTheme="majorHAnsi" w:cstheme="majorHAnsi"/>
          <w:lang w:val="de-DE"/>
        </w:rPr>
        <w:t xml:space="preserve"> erprobt, wobei die Schüler*innen hier nach Interesse und Vorerfahrung wählen können.</w:t>
      </w:r>
    </w:p>
    <w:p w14:paraId="7F0E9D0D" w14:textId="5CD0F59D" w:rsidR="00A62B46" w:rsidRDefault="00A62B46">
      <w:pPr>
        <w:spacing w:after="160" w:line="259" w:lineRule="auto"/>
      </w:pPr>
      <w:r>
        <w:br w:type="page"/>
      </w:r>
    </w:p>
    <w:p w14:paraId="576B6CD0" w14:textId="77777777" w:rsidR="008D55B5" w:rsidRPr="008D55B5" w:rsidRDefault="008D55B5" w:rsidP="008D55B5"/>
    <w:p w14:paraId="26420A2F" w14:textId="40FE51D8" w:rsidR="005947A8" w:rsidRDefault="005947A8" w:rsidP="005947A8">
      <w:pPr>
        <w:pStyle w:val="berschrift2"/>
      </w:pPr>
      <w:bookmarkStart w:id="8" w:name="_Toc215497456"/>
      <w:bookmarkStart w:id="9" w:name="_Toc215498679"/>
      <w:r w:rsidRPr="000B4C6A">
        <w:t>Lernziele</w:t>
      </w:r>
      <w:bookmarkEnd w:id="8"/>
      <w:bookmarkEnd w:id="9"/>
    </w:p>
    <w:p w14:paraId="5F56BA17" w14:textId="4514C2D7" w:rsidR="00DB2EB7" w:rsidRPr="00BD275B" w:rsidRDefault="00DB2EB7" w:rsidP="00DB2EB7">
      <w:pPr>
        <w:pStyle w:val="Listenabsatz"/>
        <w:numPr>
          <w:ilvl w:val="0"/>
          <w:numId w:val="3"/>
        </w:numPr>
        <w:rPr>
          <w:sz w:val="24"/>
          <w:szCs w:val="24"/>
        </w:rPr>
      </w:pPr>
      <w:r w:rsidRPr="00BD275B">
        <w:rPr>
          <w:sz w:val="24"/>
          <w:szCs w:val="24"/>
        </w:rPr>
        <w:t>Lehrkräfte können VR-Brillen im Sportunterricht sicher bedienen und ihren Einsatz fachlich reflektieren.</w:t>
      </w:r>
    </w:p>
    <w:p w14:paraId="3D713374" w14:textId="77777777" w:rsidR="00DB2EB7" w:rsidRPr="00BD275B" w:rsidRDefault="00DB2EB7" w:rsidP="00DB2EB7">
      <w:pPr>
        <w:pStyle w:val="Listenabsatz"/>
        <w:numPr>
          <w:ilvl w:val="0"/>
          <w:numId w:val="3"/>
        </w:numPr>
        <w:rPr>
          <w:sz w:val="24"/>
          <w:szCs w:val="24"/>
        </w:rPr>
      </w:pPr>
      <w:r w:rsidRPr="00BD275B">
        <w:rPr>
          <w:sz w:val="24"/>
          <w:szCs w:val="24"/>
        </w:rPr>
        <w:t>Lehrkräfte verstehen die zentralen Vor- und Nachteile von VR-Tischtennis-Simulationen für den Fähigkeits- und Wissenserwerb im Tischtennis.</w:t>
      </w:r>
    </w:p>
    <w:p w14:paraId="319B0FA4" w14:textId="48E7B5B0" w:rsidR="00DB2EB7" w:rsidRPr="00BD275B" w:rsidRDefault="00DB2EB7" w:rsidP="00DB2EB7">
      <w:pPr>
        <w:pStyle w:val="Listenabsatz"/>
        <w:numPr>
          <w:ilvl w:val="0"/>
          <w:numId w:val="3"/>
        </w:numPr>
        <w:rPr>
          <w:sz w:val="24"/>
          <w:szCs w:val="24"/>
        </w:rPr>
      </w:pPr>
      <w:r w:rsidRPr="00BD275B">
        <w:rPr>
          <w:sz w:val="24"/>
          <w:szCs w:val="24"/>
        </w:rPr>
        <w:t>Lehrkräfte können VR-Tischtennis in einen Stationsbetrieb integrieren und Stationskarten an eigene Unterrichtsziele anpassen.</w:t>
      </w:r>
    </w:p>
    <w:p w14:paraId="6DF38E54" w14:textId="070F89F9" w:rsidR="00DB2EB7" w:rsidRPr="00BD275B" w:rsidRDefault="00DB2EB7" w:rsidP="00DB2EB7">
      <w:pPr>
        <w:pStyle w:val="Listenabsatz"/>
        <w:numPr>
          <w:ilvl w:val="0"/>
          <w:numId w:val="3"/>
        </w:numPr>
        <w:rPr>
          <w:sz w:val="24"/>
          <w:szCs w:val="24"/>
        </w:rPr>
      </w:pPr>
      <w:r w:rsidRPr="00BD275B">
        <w:rPr>
          <w:sz w:val="24"/>
          <w:szCs w:val="24"/>
        </w:rPr>
        <w:t>Lehrkräfte können beim Einsatz von VR-Tischtennis selbstgesteuertes Lernen und Differenzierung für Schüler*innen gezielt unterstützen.</w:t>
      </w:r>
    </w:p>
    <w:p w14:paraId="4E8D6DBD" w14:textId="258149EB" w:rsidR="005947A8" w:rsidRDefault="005947A8" w:rsidP="005947A8">
      <w:pPr>
        <w:pStyle w:val="berschrift2"/>
      </w:pPr>
      <w:bookmarkStart w:id="10" w:name="_Toc215497457"/>
      <w:bookmarkStart w:id="11" w:name="_Toc215498680"/>
      <w:r w:rsidRPr="000B4C6A">
        <w:t>Dateiorganisation</w:t>
      </w:r>
      <w:bookmarkEnd w:id="10"/>
      <w:bookmarkEnd w:id="11"/>
    </w:p>
    <w:p w14:paraId="77452C25" w14:textId="77777777" w:rsidR="007E18A5" w:rsidRPr="00310187" w:rsidRDefault="007E18A5" w:rsidP="007E18A5">
      <w:pPr>
        <w:pStyle w:val="Listenabsatz"/>
        <w:numPr>
          <w:ilvl w:val="0"/>
          <w:numId w:val="10"/>
        </w:numPr>
        <w:spacing w:after="160" w:line="259" w:lineRule="auto"/>
        <w:rPr>
          <w:sz w:val="24"/>
          <w:szCs w:val="24"/>
        </w:rPr>
      </w:pPr>
      <w:r w:rsidRPr="00310187">
        <w:rPr>
          <w:sz w:val="24"/>
          <w:szCs w:val="24"/>
        </w:rPr>
        <w:t>Einführendes Dokument / Überblick</w:t>
      </w:r>
    </w:p>
    <w:p w14:paraId="33BB7882" w14:textId="77777777" w:rsidR="007E18A5" w:rsidRPr="00310187" w:rsidRDefault="007E18A5" w:rsidP="007E18A5">
      <w:pPr>
        <w:pStyle w:val="Listenabsatz"/>
        <w:numPr>
          <w:ilvl w:val="0"/>
          <w:numId w:val="10"/>
        </w:numPr>
        <w:spacing w:after="160" w:line="259" w:lineRule="auto"/>
        <w:rPr>
          <w:sz w:val="24"/>
          <w:szCs w:val="24"/>
        </w:rPr>
      </w:pPr>
      <w:r w:rsidRPr="00310187">
        <w:rPr>
          <w:sz w:val="24"/>
          <w:szCs w:val="24"/>
        </w:rPr>
        <w:t>Ergänzungen</w:t>
      </w:r>
    </w:p>
    <w:p w14:paraId="3A0AF0D0" w14:textId="4BB94F2D" w:rsidR="007E18A5" w:rsidRDefault="007E18A5" w:rsidP="007E18A5">
      <w:pPr>
        <w:pStyle w:val="Listenabsatz"/>
        <w:numPr>
          <w:ilvl w:val="0"/>
          <w:numId w:val="10"/>
        </w:numPr>
        <w:spacing w:after="160" w:line="259" w:lineRule="auto"/>
        <w:rPr>
          <w:sz w:val="24"/>
          <w:szCs w:val="24"/>
        </w:rPr>
      </w:pPr>
      <w:r w:rsidRPr="00310187">
        <w:rPr>
          <w:sz w:val="24"/>
          <w:szCs w:val="24"/>
        </w:rPr>
        <w:t>Fortbildungsverlaufsplanung</w:t>
      </w:r>
    </w:p>
    <w:p w14:paraId="1F1F46B1" w14:textId="442E8CB7" w:rsidR="00EE2B0B" w:rsidRPr="00310187" w:rsidRDefault="00EE2B0B" w:rsidP="007E18A5">
      <w:pPr>
        <w:pStyle w:val="Listenabsatz"/>
        <w:numPr>
          <w:ilvl w:val="0"/>
          <w:numId w:val="10"/>
        </w:numPr>
        <w:spacing w:after="160" w:line="259" w:lineRule="auto"/>
        <w:rPr>
          <w:sz w:val="24"/>
          <w:szCs w:val="24"/>
        </w:rPr>
      </w:pPr>
      <w:r>
        <w:rPr>
          <w:sz w:val="24"/>
          <w:szCs w:val="24"/>
        </w:rPr>
        <w:t>Fortbildungsmaterial</w:t>
      </w:r>
    </w:p>
    <w:p w14:paraId="37DDEAC1" w14:textId="77777777" w:rsidR="007E18A5" w:rsidRPr="00310187" w:rsidRDefault="007E18A5" w:rsidP="007E18A5">
      <w:pPr>
        <w:pStyle w:val="Listenabsatz"/>
        <w:numPr>
          <w:ilvl w:val="0"/>
          <w:numId w:val="10"/>
        </w:numPr>
        <w:spacing w:after="160" w:line="259" w:lineRule="auto"/>
        <w:rPr>
          <w:sz w:val="24"/>
          <w:szCs w:val="24"/>
        </w:rPr>
      </w:pPr>
      <w:r w:rsidRPr="00310187">
        <w:rPr>
          <w:sz w:val="24"/>
          <w:szCs w:val="24"/>
        </w:rPr>
        <w:t>Literaturverzeichnis</w:t>
      </w:r>
    </w:p>
    <w:p w14:paraId="22B7BC23" w14:textId="61548BEA" w:rsidR="005947A8" w:rsidRDefault="005947A8" w:rsidP="005947A8">
      <w:pPr>
        <w:pStyle w:val="berschrift2"/>
      </w:pPr>
      <w:bookmarkStart w:id="12" w:name="_Toc215497458"/>
      <w:bookmarkStart w:id="13" w:name="_Toc215498681"/>
      <w:r w:rsidRPr="000B4C6A">
        <w:t xml:space="preserve">Kompetenzen </w:t>
      </w:r>
      <w:r w:rsidR="00DB2EB7" w:rsidRPr="000B4C6A">
        <w:t>entlang</w:t>
      </w:r>
      <w:r w:rsidRPr="000B4C6A">
        <w:t xml:space="preserve"> DigCompEdu</w:t>
      </w:r>
      <w:bookmarkEnd w:id="12"/>
      <w:bookmarkEnd w:id="13"/>
    </w:p>
    <w:p w14:paraId="09ABA27D" w14:textId="18854E82" w:rsidR="00DB2EB7" w:rsidRPr="00BD275B" w:rsidRDefault="00DB2EB7" w:rsidP="00DB2EB7">
      <w:pPr>
        <w:pStyle w:val="Listenabsatz"/>
        <w:numPr>
          <w:ilvl w:val="0"/>
          <w:numId w:val="1"/>
        </w:numPr>
        <w:spacing w:after="160" w:line="256" w:lineRule="auto"/>
        <w:rPr>
          <w:color w:val="auto"/>
          <w:sz w:val="24"/>
          <w:szCs w:val="24"/>
        </w:rPr>
      </w:pPr>
      <w:r>
        <w:rPr>
          <w:sz w:val="24"/>
          <w:szCs w:val="24"/>
        </w:rPr>
        <w:t xml:space="preserve">2.1 </w:t>
      </w:r>
      <w:r w:rsidRPr="00BD275B">
        <w:rPr>
          <w:sz w:val="24"/>
          <w:szCs w:val="24"/>
        </w:rPr>
        <w:t>Auswählen digitaler Ressourcen</w:t>
      </w:r>
    </w:p>
    <w:p w14:paraId="211A55E6" w14:textId="77777777" w:rsidR="00DB2EB7" w:rsidRPr="00BD275B" w:rsidRDefault="00DB2EB7" w:rsidP="00DB2EB7">
      <w:pPr>
        <w:pStyle w:val="Listenabsatz"/>
        <w:numPr>
          <w:ilvl w:val="0"/>
          <w:numId w:val="1"/>
        </w:numPr>
        <w:spacing w:after="160" w:line="256" w:lineRule="auto"/>
        <w:rPr>
          <w:color w:val="auto"/>
          <w:sz w:val="24"/>
          <w:szCs w:val="24"/>
        </w:rPr>
      </w:pPr>
      <w:r w:rsidRPr="00BD275B">
        <w:rPr>
          <w:sz w:val="24"/>
          <w:szCs w:val="24"/>
        </w:rPr>
        <w:t>3.1 Lehren</w:t>
      </w:r>
    </w:p>
    <w:p w14:paraId="4D219470" w14:textId="44782F9B" w:rsidR="00DB2EB7" w:rsidRPr="00BD275B" w:rsidRDefault="00DB2EB7" w:rsidP="00DB2EB7">
      <w:pPr>
        <w:pStyle w:val="Listenabsatz"/>
        <w:numPr>
          <w:ilvl w:val="0"/>
          <w:numId w:val="1"/>
        </w:numPr>
        <w:spacing w:after="160" w:line="256" w:lineRule="auto"/>
        <w:rPr>
          <w:color w:val="auto"/>
          <w:sz w:val="24"/>
          <w:szCs w:val="24"/>
        </w:rPr>
      </w:pPr>
      <w:r w:rsidRPr="00BD275B">
        <w:rPr>
          <w:color w:val="auto"/>
          <w:sz w:val="24"/>
          <w:szCs w:val="24"/>
        </w:rPr>
        <w:t>3.4 Selbstgesteuertes Lernen</w:t>
      </w:r>
    </w:p>
    <w:p w14:paraId="51C72E31" w14:textId="321A9622" w:rsidR="00DB2EB7" w:rsidRPr="00BD275B" w:rsidRDefault="00DB2EB7" w:rsidP="00DB2EB7">
      <w:pPr>
        <w:pStyle w:val="Listenabsatz"/>
        <w:numPr>
          <w:ilvl w:val="0"/>
          <w:numId w:val="1"/>
        </w:numPr>
        <w:spacing w:after="160" w:line="256" w:lineRule="auto"/>
        <w:rPr>
          <w:color w:val="auto"/>
          <w:sz w:val="24"/>
          <w:szCs w:val="24"/>
          <w:lang w:val="en-US"/>
        </w:rPr>
      </w:pPr>
      <w:r w:rsidRPr="00BD275B">
        <w:rPr>
          <w:color w:val="auto"/>
          <w:sz w:val="24"/>
          <w:szCs w:val="24"/>
        </w:rPr>
        <w:t>5.2 Differenzierung und Individualisierung</w:t>
      </w:r>
    </w:p>
    <w:p w14:paraId="03888CC4" w14:textId="77777777" w:rsidR="00DB2EB7" w:rsidRPr="00DB2EB7" w:rsidRDefault="00DB2EB7" w:rsidP="00DB2EB7"/>
    <w:p w14:paraId="7DB94156" w14:textId="77777777" w:rsidR="005947A8" w:rsidRPr="000B4C6A" w:rsidRDefault="005947A8" w:rsidP="005947A8">
      <w:pPr>
        <w:pStyle w:val="berschrift1"/>
      </w:pPr>
      <w:bookmarkStart w:id="14" w:name="_Toc215497459"/>
      <w:bookmarkStart w:id="15" w:name="_Toc215498682"/>
      <w:r w:rsidRPr="000B4C6A">
        <w:t>Ergänzungen</w:t>
      </w:r>
      <w:bookmarkEnd w:id="14"/>
      <w:bookmarkEnd w:id="15"/>
    </w:p>
    <w:p w14:paraId="470C6A0A" w14:textId="52AD9C77" w:rsidR="005947A8" w:rsidRDefault="005947A8" w:rsidP="005947A8">
      <w:pPr>
        <w:pStyle w:val="berschrift2"/>
      </w:pPr>
      <w:bookmarkStart w:id="16" w:name="_Toc215497460"/>
      <w:bookmarkStart w:id="17" w:name="_Toc215498683"/>
      <w:r w:rsidRPr="000B4C6A">
        <w:t>Wissenschaftlicher Hintergrund der Fortbildung</w:t>
      </w:r>
      <w:bookmarkEnd w:id="16"/>
      <w:bookmarkEnd w:id="17"/>
    </w:p>
    <w:p w14:paraId="4AAE65D8" w14:textId="6DDA1E0E" w:rsidR="00AB0FC7" w:rsidRPr="00A62B46" w:rsidRDefault="00AB0FC7" w:rsidP="00AB0FC7">
      <w:pPr>
        <w:rPr>
          <w:sz w:val="24"/>
          <w:szCs w:val="24"/>
        </w:rPr>
      </w:pPr>
      <w:r w:rsidRPr="00A62B46">
        <w:rPr>
          <w:sz w:val="24"/>
          <w:szCs w:val="24"/>
        </w:rPr>
        <w:t>Immersive</w:t>
      </w:r>
      <w:r w:rsidR="00EE2B0B">
        <w:rPr>
          <w:sz w:val="24"/>
          <w:szCs w:val="24"/>
        </w:rPr>
        <w:t>s</w:t>
      </w:r>
      <w:r w:rsidRPr="00A62B46">
        <w:rPr>
          <w:sz w:val="24"/>
          <w:szCs w:val="24"/>
        </w:rPr>
        <w:t xml:space="preserve"> </w:t>
      </w:r>
      <w:r w:rsidR="007E18A5">
        <w:rPr>
          <w:sz w:val="24"/>
          <w:szCs w:val="24"/>
        </w:rPr>
        <w:t>VR</w:t>
      </w:r>
      <w:r w:rsidRPr="00A62B46">
        <w:rPr>
          <w:sz w:val="24"/>
          <w:szCs w:val="24"/>
        </w:rPr>
        <w:t xml:space="preserve"> gilt inzwischen als vielversprechende Lerntechnologie. Sie ermöglicht Formen des Erfahrungslernens, die im regulären Unterricht nur schwer herzustellen sind. Studien zeigen, dass VR zu hoher Aufmerksamkeit, Motivation und personalisiertem Lernen beitragen kann und – je nach Anwendung – sogar Chancen für einen tatsächlichen Skilltransfer bietet (Di Natale et al., 2021).</w:t>
      </w:r>
    </w:p>
    <w:p w14:paraId="1F85FCF1" w14:textId="77777777" w:rsidR="00AB0FC7" w:rsidRPr="00A62B46" w:rsidRDefault="00AB0FC7" w:rsidP="00AB0FC7">
      <w:pPr>
        <w:rPr>
          <w:sz w:val="24"/>
          <w:szCs w:val="24"/>
        </w:rPr>
      </w:pPr>
    </w:p>
    <w:p w14:paraId="72456B7C" w14:textId="2A8768D7" w:rsidR="00AB0FC7" w:rsidRPr="00A62B46" w:rsidRDefault="00AB0FC7" w:rsidP="00AB0FC7">
      <w:pPr>
        <w:rPr>
          <w:sz w:val="24"/>
          <w:szCs w:val="24"/>
        </w:rPr>
      </w:pPr>
      <w:r w:rsidRPr="00A62B46">
        <w:rPr>
          <w:sz w:val="24"/>
          <w:szCs w:val="24"/>
        </w:rPr>
        <w:t xml:space="preserve">Tischtennis nimmt dabei eine besondere Rolle ein. Es gehört zu den wenigen Sportarten, die in VR technisch und taktisch relativ realitätsnah simuliert werden können. Erste Analysen legen nahe, dass VR-Tischtennis eine hohe „Repräsentativität“ besitzt, also viele wesentliche Merkmale des echten Sports abbildet (Greiner &amp; Wagner, 2025, under review). Entsprechend ist die App Eleven Table Tennis besonders beliebt und </w:t>
      </w:r>
      <w:r w:rsidR="007C4E6C">
        <w:rPr>
          <w:sz w:val="24"/>
          <w:szCs w:val="24"/>
        </w:rPr>
        <w:t xml:space="preserve">wird </w:t>
      </w:r>
      <w:r w:rsidR="009F3FC1" w:rsidRPr="00A62B46">
        <w:rPr>
          <w:sz w:val="24"/>
          <w:szCs w:val="24"/>
        </w:rPr>
        <w:t>von vielen</w:t>
      </w:r>
      <w:r w:rsidRPr="00A62B46">
        <w:rPr>
          <w:sz w:val="24"/>
          <w:szCs w:val="24"/>
        </w:rPr>
        <w:t xml:space="preserve"> aktiven Tischtennisspieler*innen genutzt (Karata</w:t>
      </w:r>
      <w:r w:rsidRPr="00A62B46">
        <w:rPr>
          <w:rFonts w:hint="cs"/>
          <w:sz w:val="24"/>
          <w:szCs w:val="24"/>
        </w:rPr>
        <w:t>ş</w:t>
      </w:r>
      <w:r w:rsidRPr="00A62B46">
        <w:rPr>
          <w:sz w:val="24"/>
          <w:szCs w:val="24"/>
        </w:rPr>
        <w:t xml:space="preserve"> et al., 2023). Im Unterschied zu vielen Exergames handelt es sich nicht nur um ein Bewegungsspiel, sondern um eine Anwendung mit expliziten Trainingsfunktionen und realistischer Ballphysik.</w:t>
      </w:r>
    </w:p>
    <w:p w14:paraId="72479757" w14:textId="27CDC677" w:rsidR="00AB0FC7" w:rsidRPr="00A62B46" w:rsidRDefault="00AB0FC7" w:rsidP="00AB0FC7">
      <w:pPr>
        <w:rPr>
          <w:sz w:val="24"/>
          <w:szCs w:val="24"/>
        </w:rPr>
      </w:pPr>
      <w:r w:rsidRPr="00A62B46">
        <w:rPr>
          <w:sz w:val="24"/>
          <w:szCs w:val="24"/>
        </w:rPr>
        <w:t>Schon kurz nach Erscheinen der App wurde sie hinsichtlich Skilltransfer untersucht. Michalski et al. (2019) konnten zeigen, dass bereits sechs Trainingseinheiten von insgesamt 3,5 Stunden bei Anfänger*innen zu signifikanten Leistungsverbesserungen führten</w:t>
      </w:r>
      <w:r w:rsidR="009F3FC1" w:rsidRPr="00A62B46">
        <w:rPr>
          <w:sz w:val="24"/>
          <w:szCs w:val="24"/>
        </w:rPr>
        <w:t xml:space="preserve"> – </w:t>
      </w:r>
      <w:r w:rsidRPr="00A62B46">
        <w:rPr>
          <w:sz w:val="24"/>
          <w:szCs w:val="24"/>
        </w:rPr>
        <w:t>im Vergleich zu einer Kontrollgruppe ohne Training.</w:t>
      </w:r>
    </w:p>
    <w:p w14:paraId="3F85DBD1" w14:textId="77777777" w:rsidR="00AB0FC7" w:rsidRPr="00A62B46" w:rsidRDefault="00AB0FC7" w:rsidP="00AB0FC7">
      <w:pPr>
        <w:rPr>
          <w:sz w:val="24"/>
          <w:szCs w:val="24"/>
        </w:rPr>
      </w:pPr>
    </w:p>
    <w:p w14:paraId="5BAA3D33" w14:textId="172C7A99" w:rsidR="00AB0FC7" w:rsidRPr="00A62B46" w:rsidRDefault="00AB0FC7" w:rsidP="00AB0FC7">
      <w:pPr>
        <w:rPr>
          <w:sz w:val="24"/>
          <w:szCs w:val="24"/>
        </w:rPr>
      </w:pPr>
      <w:r w:rsidRPr="00A62B46">
        <w:rPr>
          <w:sz w:val="24"/>
          <w:szCs w:val="24"/>
        </w:rPr>
        <w:lastRenderedPageBreak/>
        <w:t>Ein zentrales technisch-taktisches Element im Tischtennis ist die Ballrotation (Spin)</w:t>
      </w:r>
      <w:r w:rsidR="009F3FC1" w:rsidRPr="00A62B46">
        <w:rPr>
          <w:sz w:val="24"/>
          <w:szCs w:val="24"/>
        </w:rPr>
        <w:t xml:space="preserve"> </w:t>
      </w:r>
      <w:r w:rsidRPr="00A62B46">
        <w:rPr>
          <w:sz w:val="24"/>
          <w:szCs w:val="24"/>
        </w:rPr>
        <w:t>(Galatti et al., 2014). Da am Tisch nur wenig Reaktionszeit bleibt, empfiehlt die Literatur, Rotationsphänomene</w:t>
      </w:r>
      <w:r w:rsidR="00BC72C3">
        <w:rPr>
          <w:sz w:val="24"/>
          <w:szCs w:val="24"/>
        </w:rPr>
        <w:t xml:space="preserve"> </w:t>
      </w:r>
      <w:r w:rsidRPr="00A62B46">
        <w:rPr>
          <w:sz w:val="24"/>
          <w:szCs w:val="24"/>
        </w:rPr>
        <w:t>zunächst</w:t>
      </w:r>
      <w:r w:rsidR="007C5A09">
        <w:rPr>
          <w:sz w:val="24"/>
          <w:szCs w:val="24"/>
        </w:rPr>
        <w:t xml:space="preserve"> </w:t>
      </w:r>
      <w:r w:rsidRPr="00A62B46">
        <w:rPr>
          <w:sz w:val="24"/>
          <w:szCs w:val="24"/>
        </w:rPr>
        <w:t>am Boden zu üben, um die Geschwindigkeit zu reduzieren und die Effekte besser sichtbar zu machen.</w:t>
      </w:r>
      <w:r w:rsidR="009F3FC1" w:rsidRPr="00A62B46">
        <w:rPr>
          <w:sz w:val="24"/>
          <w:szCs w:val="24"/>
        </w:rPr>
        <w:t xml:space="preserve"> </w:t>
      </w:r>
      <w:r w:rsidRPr="00A62B46">
        <w:rPr>
          <w:sz w:val="24"/>
          <w:szCs w:val="24"/>
        </w:rPr>
        <w:t>VR-Tischtennis bildet unterschiedliche Rotationsarten sehr realistisch ab (Karata</w:t>
      </w:r>
      <w:r w:rsidRPr="00A62B46">
        <w:rPr>
          <w:rFonts w:hint="cs"/>
          <w:sz w:val="24"/>
          <w:szCs w:val="24"/>
        </w:rPr>
        <w:t>ş</w:t>
      </w:r>
      <w:r w:rsidRPr="00A62B46">
        <w:rPr>
          <w:sz w:val="24"/>
          <w:szCs w:val="24"/>
        </w:rPr>
        <w:t xml:space="preserve"> et al., 2023). Gleichzeitig lassen sich in Eleven Table Tennis kontrollierte Trainingssituationen einstellen, etwa gleichbleibende Rotationen oder konstante Ballmaschinen-Sequenzen. Diese ermöglichen hohe Wiederholungszahlen und gezielte Fokussierung. Zwar bestehen bei der rein virtuellen Ballmaschine gewisse Einschränkungen – etwa bei der Wahrnehmung des Schlägerblatts oder der Feinheiten der Schlagbewegung</w:t>
      </w:r>
      <w:r w:rsidR="007C4E6C">
        <w:rPr>
          <w:sz w:val="24"/>
          <w:szCs w:val="24"/>
        </w:rPr>
        <w:t xml:space="preserve"> </w:t>
      </w:r>
      <w:r w:rsidRPr="00A62B46">
        <w:rPr>
          <w:sz w:val="24"/>
          <w:szCs w:val="24"/>
        </w:rPr>
        <w:t>(Pinder et al., 2011). Pädagogisch können sie jedoch auch bewusst als Komplexitätsreduktion genutzt werden, um die Aufmerksamkeit gezielt auf zentrale Aspekte wie das Absprungverhalten zu lenken.</w:t>
      </w:r>
    </w:p>
    <w:p w14:paraId="2CFAC09E" w14:textId="77777777" w:rsidR="00AB0FC7" w:rsidRPr="00A62B46" w:rsidRDefault="00AB0FC7" w:rsidP="00AB0FC7">
      <w:pPr>
        <w:rPr>
          <w:sz w:val="24"/>
          <w:szCs w:val="24"/>
        </w:rPr>
      </w:pPr>
    </w:p>
    <w:p w14:paraId="29F76CDA" w14:textId="35895C5E" w:rsidR="00BD275B" w:rsidRPr="00A62B46" w:rsidRDefault="00AB0FC7" w:rsidP="00DD6AA1">
      <w:pPr>
        <w:rPr>
          <w:sz w:val="24"/>
          <w:szCs w:val="24"/>
        </w:rPr>
      </w:pPr>
      <w:r w:rsidRPr="00A62B46">
        <w:rPr>
          <w:sz w:val="24"/>
          <w:szCs w:val="24"/>
        </w:rPr>
        <w:t>Für den schulischen Kontext ist zudem relevant, dass Stationstraining als geeignete didaktische Methode gilt, um Differenzierung im Tischtennis zu ermöglichen (Klein-Soetebier &amp; Klingen, 2024). Das vorgestellte Fortbildungskonzept greift diese Idee auf: VR wird als zusätzliche Trainingsstation eingesetzt, die parallel zu Partner*innenaufgaben genutzt werden kann. Die zentrale Lernaufgabe besteht darin, Rotationsarten wahrzunehmen und mit dem Schlägerblatt angemessen darauf zu reagieren. Das Problem wird zun</w:t>
      </w:r>
      <w:r w:rsidRPr="00A62B46">
        <w:rPr>
          <w:rFonts w:hint="eastAsia"/>
          <w:sz w:val="24"/>
          <w:szCs w:val="24"/>
        </w:rPr>
        <w:t>ä</w:t>
      </w:r>
      <w:r w:rsidRPr="00A62B46">
        <w:rPr>
          <w:sz w:val="24"/>
          <w:szCs w:val="24"/>
        </w:rPr>
        <w:t>chst gestellt, anschließend in VR erfahren und schließlich</w:t>
      </w:r>
      <w:r w:rsidR="009F3FC1" w:rsidRPr="00A62B46">
        <w:rPr>
          <w:sz w:val="24"/>
          <w:szCs w:val="24"/>
        </w:rPr>
        <w:t xml:space="preserve"> </w:t>
      </w:r>
      <w:r w:rsidRPr="00A62B46">
        <w:rPr>
          <w:sz w:val="24"/>
          <w:szCs w:val="24"/>
        </w:rPr>
        <w:t>reflektiert.</w:t>
      </w:r>
      <w:r w:rsidR="009F3FC1" w:rsidRPr="00A62B46">
        <w:rPr>
          <w:sz w:val="24"/>
          <w:szCs w:val="24"/>
        </w:rPr>
        <w:t xml:space="preserve"> </w:t>
      </w:r>
      <w:r w:rsidRPr="00A62B46">
        <w:rPr>
          <w:sz w:val="24"/>
          <w:szCs w:val="24"/>
        </w:rPr>
        <w:t xml:space="preserve">Das Vorgehen eröffnet vielfältige Differenzierungsmöglichkeiten – auch für leistungsstärkere Schüler*innen, etwa beim Thema Sidespin, das im regulären Spiel aufgrund begrenzter Gelegenheiten oft schwer zu erlernen ist. Durch Variation von Spinrichtung und -intensität können Lernende in VR Erfahrungen sammeln, die im echten Spiel selten auftreten. </w:t>
      </w:r>
      <w:r w:rsidR="00BC72C3" w:rsidRPr="00BC72C3">
        <w:rPr>
          <w:sz w:val="24"/>
          <w:szCs w:val="24"/>
        </w:rPr>
        <w:t xml:space="preserve">Damit unterstützt VR nicht nur analytisches Verständnis, sondern ermöglicht praxisnahes Lernen: Lernende erwerben Wissen, indem sie etwas unmittelbar </w:t>
      </w:r>
      <w:r w:rsidR="00430488">
        <w:rPr>
          <w:sz w:val="24"/>
          <w:szCs w:val="24"/>
        </w:rPr>
        <w:t>erfahren</w:t>
      </w:r>
      <w:r w:rsidR="00BC72C3" w:rsidRPr="00BC72C3">
        <w:rPr>
          <w:sz w:val="24"/>
          <w:szCs w:val="24"/>
        </w:rPr>
        <w:t>. Dies entspricht einem praxisorientierten Verständnis von Wissen im Sportunterricht (Nyberg &amp; Larsson, 2014).</w:t>
      </w:r>
    </w:p>
    <w:p w14:paraId="1D24D8DE" w14:textId="41351D19" w:rsidR="00DD6AA1" w:rsidRDefault="00DD6AA1" w:rsidP="00DD6AA1"/>
    <w:p w14:paraId="724DD02B" w14:textId="57C2B946" w:rsidR="00817684" w:rsidRDefault="00817684" w:rsidP="0021586E">
      <w:pPr>
        <w:pStyle w:val="berschrift2"/>
      </w:pPr>
      <w:r>
        <w:t>Hinweise zur praktischen Nutzung</w:t>
      </w:r>
    </w:p>
    <w:p w14:paraId="42B9C6FE" w14:textId="7C619F4B" w:rsidR="00774AF4" w:rsidRPr="00A62B46" w:rsidRDefault="00774AF4" w:rsidP="00774AF4">
      <w:pPr>
        <w:rPr>
          <w:sz w:val="24"/>
          <w:szCs w:val="24"/>
        </w:rPr>
      </w:pPr>
      <w:r w:rsidRPr="00A62B46">
        <w:rPr>
          <w:sz w:val="24"/>
          <w:szCs w:val="24"/>
        </w:rPr>
        <w:t>Bei VR-Brillen sollten folgende Funktionen vermittelt und erläutert werden:</w:t>
      </w:r>
    </w:p>
    <w:p w14:paraId="6C13C3A8" w14:textId="77777777" w:rsidR="00774AF4" w:rsidRPr="00A62B46" w:rsidRDefault="00774AF4" w:rsidP="00774AF4">
      <w:pPr>
        <w:pStyle w:val="Listenabsatz"/>
        <w:numPr>
          <w:ilvl w:val="0"/>
          <w:numId w:val="8"/>
        </w:numPr>
        <w:rPr>
          <w:sz w:val="24"/>
          <w:szCs w:val="24"/>
        </w:rPr>
      </w:pPr>
      <w:r w:rsidRPr="00A62B46">
        <w:rPr>
          <w:sz w:val="24"/>
          <w:szCs w:val="24"/>
        </w:rPr>
        <w:t>Einstellung des „Guardians“ (der Begrenzung), um Kollisionen zu vermeiden.</w:t>
      </w:r>
    </w:p>
    <w:p w14:paraId="4D45E583" w14:textId="19FBE60A" w:rsidR="00774AF4" w:rsidRPr="00A62B46" w:rsidRDefault="00774AF4" w:rsidP="00774AF4">
      <w:pPr>
        <w:pStyle w:val="Listenabsatz"/>
        <w:numPr>
          <w:ilvl w:val="0"/>
          <w:numId w:val="8"/>
        </w:numPr>
        <w:rPr>
          <w:sz w:val="24"/>
          <w:szCs w:val="24"/>
        </w:rPr>
      </w:pPr>
      <w:r w:rsidRPr="00A62B46">
        <w:rPr>
          <w:sz w:val="24"/>
          <w:szCs w:val="24"/>
        </w:rPr>
        <w:t>Anpassung des Augenabstands (IPD), um ein optimales Bild zu erhalten.</w:t>
      </w:r>
    </w:p>
    <w:p w14:paraId="36DA99BF" w14:textId="74BA68CE" w:rsidR="001E7A57" w:rsidRPr="001E7A57" w:rsidRDefault="00774AF4" w:rsidP="001E7A57">
      <w:pPr>
        <w:pStyle w:val="Listenabsatz"/>
        <w:numPr>
          <w:ilvl w:val="0"/>
          <w:numId w:val="8"/>
        </w:numPr>
        <w:rPr>
          <w:sz w:val="24"/>
          <w:szCs w:val="24"/>
        </w:rPr>
      </w:pPr>
      <w:r w:rsidRPr="00A62B46">
        <w:rPr>
          <w:sz w:val="24"/>
          <w:szCs w:val="24"/>
        </w:rPr>
        <w:t xml:space="preserve">Hinweise zu </w:t>
      </w:r>
      <w:r w:rsidR="007C4E6C">
        <w:rPr>
          <w:sz w:val="24"/>
          <w:szCs w:val="24"/>
        </w:rPr>
        <w:t>Cybersickness</w:t>
      </w:r>
      <w:r w:rsidRPr="00A62B46">
        <w:rPr>
          <w:sz w:val="24"/>
          <w:szCs w:val="24"/>
        </w:rPr>
        <w:t xml:space="preserve">, die bei </w:t>
      </w:r>
      <w:r w:rsidR="007C4E6C">
        <w:rPr>
          <w:sz w:val="24"/>
          <w:szCs w:val="24"/>
        </w:rPr>
        <w:t>VR-</w:t>
      </w:r>
      <w:r w:rsidRPr="00A62B46">
        <w:rPr>
          <w:sz w:val="24"/>
          <w:szCs w:val="24"/>
        </w:rPr>
        <w:t>Tischtennis jedoch typischerweise gering ausfällt.</w:t>
      </w:r>
    </w:p>
    <w:p w14:paraId="5E758089" w14:textId="77777777" w:rsidR="00A62B46" w:rsidRPr="00A62B46" w:rsidRDefault="00A62B46" w:rsidP="00A62B46">
      <w:pPr>
        <w:pStyle w:val="Listenabsatz"/>
        <w:rPr>
          <w:sz w:val="24"/>
          <w:szCs w:val="24"/>
        </w:rPr>
      </w:pPr>
    </w:p>
    <w:p w14:paraId="6AEF74AE" w14:textId="55FD2090" w:rsidR="00774AF4" w:rsidRPr="00A62B46" w:rsidRDefault="00774AF4" w:rsidP="00774AF4">
      <w:pPr>
        <w:rPr>
          <w:sz w:val="24"/>
          <w:szCs w:val="24"/>
        </w:rPr>
      </w:pPr>
      <w:r w:rsidRPr="00A62B46">
        <w:rPr>
          <w:sz w:val="24"/>
          <w:szCs w:val="24"/>
        </w:rPr>
        <w:t>In der App Eleven Table Tennis sind folgende Funktionen zu beachten:</w:t>
      </w:r>
    </w:p>
    <w:p w14:paraId="7F5C2786" w14:textId="67035303" w:rsidR="00774AF4" w:rsidRPr="00A62B46" w:rsidRDefault="00774AF4" w:rsidP="00774AF4">
      <w:pPr>
        <w:pStyle w:val="Listenabsatz"/>
        <w:numPr>
          <w:ilvl w:val="0"/>
          <w:numId w:val="9"/>
        </w:numPr>
        <w:rPr>
          <w:sz w:val="24"/>
          <w:szCs w:val="24"/>
        </w:rPr>
      </w:pPr>
      <w:r w:rsidRPr="00A62B46">
        <w:rPr>
          <w:sz w:val="24"/>
          <w:szCs w:val="24"/>
        </w:rPr>
        <w:t>Einsatz von Schlägeradaptern zur Erhöhung des Realismus. Der Controllerkopf sollte dabei möglichst nach oben zeigen, wenn man den Schläger in der Hand hält, da er so in allen Lagen am besten getrackt wird.</w:t>
      </w:r>
      <w:r w:rsidR="005E5465">
        <w:rPr>
          <w:sz w:val="24"/>
          <w:szCs w:val="24"/>
        </w:rPr>
        <w:t xml:space="preserve"> Viele solcher Adapter sind in der App bereits hinterlegt und können somit ausgewählt werden.</w:t>
      </w:r>
    </w:p>
    <w:p w14:paraId="0D654AAD" w14:textId="637360C5" w:rsidR="00774AF4" w:rsidRDefault="00774AF4" w:rsidP="00774AF4">
      <w:pPr>
        <w:pStyle w:val="Listenabsatz"/>
        <w:numPr>
          <w:ilvl w:val="0"/>
          <w:numId w:val="9"/>
        </w:numPr>
        <w:rPr>
          <w:sz w:val="24"/>
          <w:szCs w:val="24"/>
        </w:rPr>
      </w:pPr>
      <w:r w:rsidRPr="00A62B46">
        <w:rPr>
          <w:sz w:val="24"/>
          <w:szCs w:val="24"/>
        </w:rPr>
        <w:t>Positionierung des virtuellen Tisches, um platzsparend zu arbeiten (siehe Anleitung). So können auch bei kleiner Begrenzung Bälle aus großer Distanz gespielt werden.</w:t>
      </w:r>
    </w:p>
    <w:p w14:paraId="64245429" w14:textId="0594987F" w:rsidR="001E7A57" w:rsidRDefault="001E7A57" w:rsidP="00774AF4">
      <w:pPr>
        <w:pStyle w:val="Listenabsatz"/>
        <w:numPr>
          <w:ilvl w:val="0"/>
          <w:numId w:val="9"/>
        </w:numPr>
        <w:rPr>
          <w:sz w:val="24"/>
          <w:szCs w:val="24"/>
        </w:rPr>
      </w:pPr>
      <w:r>
        <w:rPr>
          <w:sz w:val="24"/>
          <w:szCs w:val="24"/>
        </w:rPr>
        <w:t>Neuere VR-Brillen unterstützen Mixed Reality. Im Portalmodus spielt man in ein großes Portal nach vorne, kann aber zur Seite die Umgebung und auch den*die Partner*in wahrnehmen</w:t>
      </w:r>
    </w:p>
    <w:p w14:paraId="1F64F0B9" w14:textId="77777777" w:rsidR="00226698" w:rsidRDefault="00226698" w:rsidP="00226698">
      <w:pPr>
        <w:pStyle w:val="Listenabsatz"/>
        <w:rPr>
          <w:sz w:val="24"/>
          <w:szCs w:val="24"/>
        </w:rPr>
      </w:pPr>
    </w:p>
    <w:p w14:paraId="0AC37FAA" w14:textId="71559067" w:rsidR="00226698" w:rsidRDefault="00226698" w:rsidP="00226698">
      <w:pPr>
        <w:rPr>
          <w:sz w:val="24"/>
          <w:szCs w:val="24"/>
        </w:rPr>
      </w:pPr>
      <w:r>
        <w:rPr>
          <w:sz w:val="24"/>
          <w:szCs w:val="24"/>
        </w:rPr>
        <w:t>Die Stationskarten bilden in systematischer Weise die Problemstellung Ballrotation ab:</w:t>
      </w:r>
    </w:p>
    <w:p w14:paraId="2150359E" w14:textId="4115040D" w:rsidR="001E7A57" w:rsidRDefault="007C4E6C" w:rsidP="007C4E6C">
      <w:pPr>
        <w:pStyle w:val="Listenabsatz"/>
        <w:numPr>
          <w:ilvl w:val="0"/>
          <w:numId w:val="12"/>
        </w:numPr>
        <w:rPr>
          <w:sz w:val="24"/>
          <w:szCs w:val="24"/>
        </w:rPr>
      </w:pPr>
      <w:r w:rsidRPr="007C4E6C">
        <w:rPr>
          <w:sz w:val="24"/>
          <w:szCs w:val="24"/>
        </w:rPr>
        <w:t xml:space="preserve">Die Programme für die Ballmaschine wurden vom </w:t>
      </w:r>
      <w:r w:rsidR="005E5465">
        <w:rPr>
          <w:sz w:val="24"/>
          <w:szCs w:val="24"/>
        </w:rPr>
        <w:t>Ersta</w:t>
      </w:r>
      <w:r w:rsidRPr="007C4E6C">
        <w:rPr>
          <w:sz w:val="24"/>
          <w:szCs w:val="24"/>
        </w:rPr>
        <w:t xml:space="preserve">utor in der App Eleven Table Tennis online bereitgestellt und können über die Eingabe des folgenden </w:t>
      </w:r>
      <w:r w:rsidRPr="007C4E6C">
        <w:rPr>
          <w:sz w:val="24"/>
          <w:szCs w:val="24"/>
        </w:rPr>
        <w:lastRenderedPageBreak/>
        <w:t>Keys</w:t>
      </w:r>
      <w:r w:rsidR="005E5465">
        <w:rPr>
          <w:sz w:val="24"/>
          <w:szCs w:val="24"/>
        </w:rPr>
        <w:t xml:space="preserve"> (2433614.2</w:t>
      </w:r>
      <w:r w:rsidR="005E5465" w:rsidRPr="007C4E6C">
        <w:rPr>
          <w:sz w:val="24"/>
          <w:szCs w:val="24"/>
        </w:rPr>
        <w:t>)</w:t>
      </w:r>
      <w:r w:rsidRPr="007C4E6C">
        <w:rPr>
          <w:sz w:val="24"/>
          <w:szCs w:val="24"/>
        </w:rPr>
        <w:t xml:space="preserve"> heruntergeladen werden</w:t>
      </w:r>
      <w:r w:rsidR="005E5465">
        <w:rPr>
          <w:sz w:val="24"/>
          <w:szCs w:val="24"/>
        </w:rPr>
        <w:t>.</w:t>
      </w:r>
      <w:r w:rsidRPr="007C4E6C">
        <w:rPr>
          <w:sz w:val="24"/>
          <w:szCs w:val="24"/>
        </w:rPr>
        <w:t xml:space="preserve"> </w:t>
      </w:r>
      <w:r w:rsidR="00F83FEE" w:rsidRPr="00F83FEE">
        <w:rPr>
          <w:sz w:val="24"/>
          <w:szCs w:val="24"/>
        </w:rPr>
        <w:t>Eine Anleitung zur Eingabe und Nutzung des Keys kann bei Bedarf leicht über einen KI-</w:t>
      </w:r>
      <w:proofErr w:type="spellStart"/>
      <w:r w:rsidR="00F83FEE" w:rsidRPr="00F83FEE">
        <w:rPr>
          <w:sz w:val="24"/>
          <w:szCs w:val="24"/>
        </w:rPr>
        <w:t>Chatbot</w:t>
      </w:r>
      <w:proofErr w:type="spellEnd"/>
      <w:r w:rsidR="00F83FEE" w:rsidRPr="00F83FEE">
        <w:rPr>
          <w:sz w:val="24"/>
          <w:szCs w:val="24"/>
        </w:rPr>
        <w:t xml:space="preserve"> oder die Online-Hilfe von Eleven Table Tennis nachgelesen werden.</w:t>
      </w:r>
    </w:p>
    <w:p w14:paraId="6A3CDC96" w14:textId="5A33C7B0" w:rsidR="007C4E6C" w:rsidRPr="007C4E6C" w:rsidRDefault="007C4E6C" w:rsidP="007C4E6C">
      <w:pPr>
        <w:pStyle w:val="Listenabsatz"/>
        <w:numPr>
          <w:ilvl w:val="0"/>
          <w:numId w:val="12"/>
        </w:numPr>
        <w:rPr>
          <w:sz w:val="24"/>
          <w:szCs w:val="24"/>
        </w:rPr>
      </w:pPr>
      <w:r w:rsidRPr="007C4E6C">
        <w:rPr>
          <w:sz w:val="24"/>
          <w:szCs w:val="24"/>
        </w:rPr>
        <w:t>Die Stationskarten können an konkrete Unterrichtsvorhaben angepasst werden. So können die Rotationstypen beispielsweise stärker mit Techniken wie dem Schupf</w:t>
      </w:r>
      <w:r w:rsidR="00EC7A8C">
        <w:rPr>
          <w:sz w:val="24"/>
          <w:szCs w:val="24"/>
        </w:rPr>
        <w:t xml:space="preserve">ball </w:t>
      </w:r>
      <w:r w:rsidRPr="007C4E6C">
        <w:rPr>
          <w:sz w:val="24"/>
          <w:szCs w:val="24"/>
        </w:rPr>
        <w:t xml:space="preserve">oder </w:t>
      </w:r>
      <w:r w:rsidR="00EC7A8C">
        <w:rPr>
          <w:sz w:val="24"/>
          <w:szCs w:val="24"/>
        </w:rPr>
        <w:t xml:space="preserve">dem </w:t>
      </w:r>
      <w:r w:rsidRPr="007C4E6C">
        <w:rPr>
          <w:sz w:val="24"/>
          <w:szCs w:val="24"/>
        </w:rPr>
        <w:t>Block verknüpft werden.</w:t>
      </w:r>
    </w:p>
    <w:p w14:paraId="543EE36E" w14:textId="7CDB1897" w:rsidR="001E7A57" w:rsidRPr="001E7A57" w:rsidRDefault="001E7A57" w:rsidP="001E7A57">
      <w:pPr>
        <w:rPr>
          <w:sz w:val="24"/>
          <w:szCs w:val="24"/>
        </w:rPr>
      </w:pPr>
    </w:p>
    <w:p w14:paraId="3E87153B" w14:textId="5E6C9EB2" w:rsidR="001E7A57" w:rsidRDefault="00C11A0C" w:rsidP="00C11A0C">
      <w:r>
        <w:rPr>
          <w:noProof/>
        </w:rPr>
        <w:drawing>
          <wp:anchor distT="0" distB="0" distL="114300" distR="114300" simplePos="0" relativeHeight="251659264" behindDoc="1" locked="0" layoutInCell="1" allowOverlap="1" wp14:anchorId="29FA8F48" wp14:editId="1679EC58">
            <wp:simplePos x="0" y="0"/>
            <wp:positionH relativeFrom="column">
              <wp:posOffset>1657350</wp:posOffset>
            </wp:positionH>
            <wp:positionV relativeFrom="paragraph">
              <wp:posOffset>193040</wp:posOffset>
            </wp:positionV>
            <wp:extent cx="2170430" cy="1628140"/>
            <wp:effectExtent l="0" t="0" r="1270" b="0"/>
            <wp:wrapTopAndBottom/>
            <wp:docPr id="24" name="Grafi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70430" cy="1628140"/>
                    </a:xfrm>
                    <a:prstGeom prst="rect">
                      <a:avLst/>
                    </a:prstGeom>
                    <a:noFill/>
                    <a:ln>
                      <a:noFill/>
                    </a:ln>
                  </pic:spPr>
                </pic:pic>
              </a:graphicData>
            </a:graphic>
          </wp:anchor>
        </w:drawing>
      </w:r>
      <w:r>
        <w:rPr>
          <w:noProof/>
        </w:rPr>
        <mc:AlternateContent>
          <mc:Choice Requires="wps">
            <w:drawing>
              <wp:anchor distT="0" distB="0" distL="114300" distR="114300" simplePos="0" relativeHeight="251661312" behindDoc="0" locked="0" layoutInCell="1" allowOverlap="1" wp14:anchorId="28D7A00E" wp14:editId="7AA1DBE8">
                <wp:simplePos x="0" y="0"/>
                <wp:positionH relativeFrom="column">
                  <wp:posOffset>1767670</wp:posOffset>
                </wp:positionH>
                <wp:positionV relativeFrom="paragraph">
                  <wp:posOffset>1886334</wp:posOffset>
                </wp:positionV>
                <wp:extent cx="2170430" cy="635"/>
                <wp:effectExtent l="0" t="0" r="0" b="0"/>
                <wp:wrapTopAndBottom/>
                <wp:docPr id="4" name="Textfeld 4"/>
                <wp:cNvGraphicFramePr/>
                <a:graphic xmlns:a="http://schemas.openxmlformats.org/drawingml/2006/main">
                  <a:graphicData uri="http://schemas.microsoft.com/office/word/2010/wordprocessingShape">
                    <wps:wsp>
                      <wps:cNvSpPr txBox="1"/>
                      <wps:spPr>
                        <a:xfrm>
                          <a:off x="0" y="0"/>
                          <a:ext cx="2170430" cy="635"/>
                        </a:xfrm>
                        <a:prstGeom prst="rect">
                          <a:avLst/>
                        </a:prstGeom>
                        <a:solidFill>
                          <a:prstClr val="white"/>
                        </a:solidFill>
                        <a:ln>
                          <a:noFill/>
                        </a:ln>
                      </wps:spPr>
                      <wps:txbx>
                        <w:txbxContent>
                          <w:p w14:paraId="4AA63040" w14:textId="6C1DBA58" w:rsidR="00774AF4" w:rsidRPr="00F7004A" w:rsidRDefault="00774AF4" w:rsidP="00774AF4">
                            <w:pPr>
                              <w:pStyle w:val="Beschriftung"/>
                              <w:rPr>
                                <w:noProof/>
                                <w:color w:val="202334" w:themeColor="text1"/>
                              </w:rPr>
                            </w:pPr>
                            <w:r>
                              <w:rPr>
                                <w:noProof/>
                              </w:rPr>
                              <w:t xml:space="preserve">Abbildung 1. </w:t>
                            </w:r>
                            <w:r>
                              <w:t>Schlägeradapter für Quest 3 Controller</w:t>
                            </w:r>
                            <w:r w:rsidR="00D05BED">
                              <w:t xml:space="preserve"> (eigene Aufnahme)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28D7A00E" id="_x0000_t202" coordsize="21600,21600" o:spt="202" path="m,l,21600r21600,l21600,xe">
                <v:stroke joinstyle="miter"/>
                <v:path gradientshapeok="t" o:connecttype="rect"/>
              </v:shapetype>
              <v:shape id="Textfeld 4" o:spid="_x0000_s1026" type="#_x0000_t202" style="position:absolute;margin-left:139.2pt;margin-top:148.55pt;width:170.9pt;height:.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" stroked="f">
                <v:textbox style="mso-fit-shape-to-text:t" inset="0,0,0,0">
                  <w:txbxContent>
                    <w:p w14:paraId="4AA63040" w14:textId="6C1DBA58" w:rsidR="00774AF4" w:rsidRPr="00F7004A" w:rsidRDefault="00774AF4" w:rsidP="00774AF4">
                      <w:pPr>
                        <w:pStyle w:val="Beschriftung"/>
                        <w:rPr>
                          <w:noProof/>
                          <w:color w:val="202334" w:themeColor="text1"/>
                        </w:rPr>
                      </w:pPr>
                      <w:r>
                        <w:rPr>
                          <w:noProof/>
                        </w:rPr>
                        <w:t xml:space="preserve">Abbildung 1. </w:t>
                      </w:r>
                      <w:r>
                        <w:t>Schlägeradapter für Quest 3 Controller</w:t>
                      </w:r>
                      <w:r w:rsidR="00D05BED">
                        <w:t xml:space="preserve"> (eigene Aufnahme)</w:t>
                      </w:r>
                    </w:p>
                  </w:txbxContent>
                </v:textbox>
                <w10:wrap type="topAndBottom"/>
              </v:shape>
            </w:pict>
          </mc:Fallback>
        </mc:AlternateContent>
      </w:r>
    </w:p>
    <w:p w14:paraId="775DC152" w14:textId="2922FE6B" w:rsidR="00DD6AA1" w:rsidRDefault="00817684" w:rsidP="0021586E">
      <w:pPr>
        <w:pStyle w:val="berschrift2"/>
      </w:pPr>
      <w:r>
        <w:t>Ideen zu weiteren</w:t>
      </w:r>
      <w:r w:rsidR="001E7A57">
        <w:t xml:space="preserve"> </w:t>
      </w:r>
      <w:r>
        <w:t>Einsatzszenarien</w:t>
      </w:r>
    </w:p>
    <w:p w14:paraId="0C0DB874" w14:textId="5F86D4BD" w:rsidR="005A097D" w:rsidRPr="007E18A5" w:rsidRDefault="007E18A5" w:rsidP="007E18A5">
      <w:pPr>
        <w:rPr>
          <w:sz w:val="24"/>
          <w:szCs w:val="24"/>
        </w:rPr>
      </w:pPr>
      <w:r w:rsidRPr="007E18A5">
        <w:rPr>
          <w:sz w:val="24"/>
          <w:szCs w:val="24"/>
        </w:rPr>
        <w:t>Wie die Studie von Michalski et al. (2019) gezeigt hat, kann VR insbesondere bei Anfänger*innen zu Transfereffekten führen. Dies eröffnet ein weiteres sinnvolles Einsatzszenario</w:t>
      </w:r>
      <w:r w:rsidR="00937B75">
        <w:rPr>
          <w:sz w:val="24"/>
          <w:szCs w:val="24"/>
        </w:rPr>
        <w:t xml:space="preserve"> und kann spielerisch gegen den KI-Gegner erfolgen</w:t>
      </w:r>
      <w:r w:rsidRPr="007E18A5">
        <w:rPr>
          <w:sz w:val="24"/>
          <w:szCs w:val="24"/>
        </w:rPr>
        <w:t>.</w:t>
      </w:r>
      <w:r>
        <w:rPr>
          <w:sz w:val="24"/>
          <w:szCs w:val="24"/>
        </w:rPr>
        <w:t xml:space="preserve"> </w:t>
      </w:r>
      <w:r w:rsidRPr="007E18A5">
        <w:rPr>
          <w:sz w:val="24"/>
          <w:szCs w:val="24"/>
        </w:rPr>
        <w:t xml:space="preserve">Sofern eine WLAN-Verbindung vorhanden ist, lässt sich außerdem ein sogenanntes „Geisterspiel“ umsetzen: Zwei Personen spielen dabei direkt gegeneinander und stehen sich real gegenüber. Die Spieler*innen sehen einander </w:t>
      </w:r>
      <w:r w:rsidR="00937B75">
        <w:rPr>
          <w:sz w:val="24"/>
          <w:szCs w:val="24"/>
        </w:rPr>
        <w:t xml:space="preserve">dabei </w:t>
      </w:r>
      <w:r w:rsidRPr="007E18A5">
        <w:rPr>
          <w:sz w:val="24"/>
          <w:szCs w:val="24"/>
        </w:rPr>
        <w:t>nur in der virtuellen Umgebung. Für Zuschauende ergibt sich ein spannender Effekt, da sie die Bewegungen sehen, aber keinen Ball erkennen können.</w:t>
      </w:r>
      <w:r>
        <w:rPr>
          <w:sz w:val="24"/>
          <w:szCs w:val="24"/>
        </w:rPr>
        <w:t xml:space="preserve"> </w:t>
      </w:r>
      <w:r w:rsidRPr="007E18A5">
        <w:rPr>
          <w:sz w:val="24"/>
          <w:szCs w:val="24"/>
        </w:rPr>
        <w:t xml:space="preserve">Wenn VR-Brillen </w:t>
      </w:r>
      <w:r w:rsidR="00937B75">
        <w:rPr>
          <w:sz w:val="24"/>
          <w:szCs w:val="24"/>
        </w:rPr>
        <w:t>verliehen</w:t>
      </w:r>
      <w:r w:rsidRPr="007E18A5">
        <w:rPr>
          <w:sz w:val="24"/>
          <w:szCs w:val="24"/>
        </w:rPr>
        <w:t xml:space="preserve"> werden können, besteht zudem die Möglichkeit, dass Schüler*innen Inhalte zu Hause üben – im Sinne eines Blended-Learning-Ansatzes, der schulisches und eigenständiges Lernen verbindet.</w:t>
      </w:r>
      <w:r w:rsidR="0021586E">
        <w:br w:type="page"/>
      </w:r>
    </w:p>
    <w:p w14:paraId="424CEDC1" w14:textId="23B1BF60" w:rsidR="005947A8" w:rsidRDefault="005947A8" w:rsidP="00474FFF">
      <w:pPr>
        <w:pStyle w:val="berschrift1"/>
        <w:spacing w:after="360"/>
      </w:pPr>
      <w:bookmarkStart w:id="18" w:name="_Toc215498684"/>
      <w:r>
        <w:lastRenderedPageBreak/>
        <w:t>Fortbildungsverlaufsplanung</w:t>
      </w:r>
      <w:bookmarkEnd w:id="18"/>
    </w:p>
    <w:tbl>
      <w:tblPr>
        <w:tblStyle w:val="Tabellenraster"/>
        <w:tblpPr w:leftFromText="180" w:rightFromText="180" w:vertAnchor="text" w:tblpY="-91"/>
        <w:tblW w:w="9493" w:type="dxa"/>
        <w:tblLook w:val="04A0" w:firstRow="1" w:lastRow="0" w:firstColumn="1" w:lastColumn="0" w:noHBand="0" w:noVBand="1"/>
      </w:tblPr>
      <w:tblGrid>
        <w:gridCol w:w="1555"/>
        <w:gridCol w:w="4110"/>
        <w:gridCol w:w="2127"/>
        <w:gridCol w:w="1701"/>
      </w:tblGrid>
      <w:tr w:rsidR="007E18A5" w14:paraId="594AECC0" w14:textId="3F52888E" w:rsidTr="001E7A57">
        <w:trPr>
          <w:trHeight w:val="211"/>
        </w:trPr>
        <w:tc>
          <w:tcPr>
            <w:tcW w:w="1555" w:type="dxa"/>
          </w:tcPr>
          <w:p w14:paraId="1C49E313" w14:textId="77777777" w:rsidR="007E18A5" w:rsidRPr="00474FFF" w:rsidRDefault="007E18A5" w:rsidP="00284924">
            <w:pPr>
              <w:rPr>
                <w:b/>
                <w:sz w:val="24"/>
                <w:szCs w:val="24"/>
              </w:rPr>
            </w:pPr>
            <w:r w:rsidRPr="00474FFF">
              <w:rPr>
                <w:b/>
                <w:sz w:val="24"/>
                <w:szCs w:val="24"/>
              </w:rPr>
              <w:t>Phase</w:t>
            </w:r>
          </w:p>
        </w:tc>
        <w:tc>
          <w:tcPr>
            <w:tcW w:w="4110" w:type="dxa"/>
          </w:tcPr>
          <w:p w14:paraId="59992133" w14:textId="77777777" w:rsidR="007E18A5" w:rsidRPr="00474FFF" w:rsidRDefault="007E18A5" w:rsidP="00284924">
            <w:pPr>
              <w:rPr>
                <w:b/>
                <w:sz w:val="24"/>
                <w:szCs w:val="24"/>
              </w:rPr>
            </w:pPr>
            <w:r w:rsidRPr="00474FFF">
              <w:rPr>
                <w:b/>
                <w:sz w:val="24"/>
                <w:szCs w:val="24"/>
              </w:rPr>
              <w:t>Inhalt</w:t>
            </w:r>
          </w:p>
        </w:tc>
        <w:tc>
          <w:tcPr>
            <w:tcW w:w="2127" w:type="dxa"/>
          </w:tcPr>
          <w:p w14:paraId="629B7E70" w14:textId="77777777" w:rsidR="007E18A5" w:rsidRPr="00474FFF" w:rsidRDefault="007E18A5" w:rsidP="00284924">
            <w:pPr>
              <w:rPr>
                <w:b/>
                <w:sz w:val="24"/>
                <w:szCs w:val="24"/>
              </w:rPr>
            </w:pPr>
            <w:r w:rsidRPr="00474FFF">
              <w:rPr>
                <w:b/>
                <w:sz w:val="24"/>
                <w:szCs w:val="24"/>
              </w:rPr>
              <w:t>Sozialform/</w:t>
            </w:r>
          </w:p>
          <w:p w14:paraId="024E7186" w14:textId="77777777" w:rsidR="007E18A5" w:rsidRPr="00474FFF" w:rsidRDefault="007E18A5" w:rsidP="00284924">
            <w:pPr>
              <w:rPr>
                <w:b/>
                <w:sz w:val="24"/>
                <w:szCs w:val="24"/>
              </w:rPr>
            </w:pPr>
            <w:r w:rsidRPr="00474FFF">
              <w:rPr>
                <w:b/>
                <w:sz w:val="24"/>
                <w:szCs w:val="24"/>
              </w:rPr>
              <w:t>Methodik</w:t>
            </w:r>
          </w:p>
        </w:tc>
        <w:tc>
          <w:tcPr>
            <w:tcW w:w="1701" w:type="dxa"/>
          </w:tcPr>
          <w:p w14:paraId="1665C533" w14:textId="77777777" w:rsidR="007E18A5" w:rsidRPr="00474FFF" w:rsidRDefault="007E18A5" w:rsidP="00284924">
            <w:pPr>
              <w:rPr>
                <w:b/>
                <w:sz w:val="24"/>
                <w:szCs w:val="24"/>
              </w:rPr>
            </w:pPr>
            <w:r w:rsidRPr="00474FFF">
              <w:rPr>
                <w:b/>
                <w:sz w:val="24"/>
                <w:szCs w:val="24"/>
              </w:rPr>
              <w:t>Material</w:t>
            </w:r>
          </w:p>
        </w:tc>
      </w:tr>
      <w:tr w:rsidR="007E18A5" w:rsidRPr="00D1659F" w14:paraId="3E04D165" w14:textId="22C0ED40" w:rsidTr="001E7A57">
        <w:trPr>
          <w:trHeight w:val="347"/>
        </w:trPr>
        <w:tc>
          <w:tcPr>
            <w:tcW w:w="1555" w:type="dxa"/>
          </w:tcPr>
          <w:p w14:paraId="2A696D93" w14:textId="77777777" w:rsidR="007E18A5" w:rsidRPr="00474FFF" w:rsidRDefault="007E18A5" w:rsidP="00284924">
            <w:pPr>
              <w:rPr>
                <w:sz w:val="20"/>
                <w:szCs w:val="20"/>
              </w:rPr>
            </w:pPr>
            <w:r w:rsidRPr="00474FFF">
              <w:rPr>
                <w:sz w:val="20"/>
                <w:szCs w:val="20"/>
              </w:rPr>
              <w:t>Einstieg/</w:t>
            </w:r>
          </w:p>
          <w:p w14:paraId="299D627E" w14:textId="77777777" w:rsidR="007E18A5" w:rsidRPr="00474FFF" w:rsidRDefault="007E18A5" w:rsidP="00284924">
            <w:pPr>
              <w:rPr>
                <w:sz w:val="20"/>
                <w:szCs w:val="20"/>
              </w:rPr>
            </w:pPr>
            <w:r w:rsidRPr="00474FFF">
              <w:rPr>
                <w:sz w:val="20"/>
                <w:szCs w:val="20"/>
              </w:rPr>
              <w:t>10 min</w:t>
            </w:r>
          </w:p>
          <w:p w14:paraId="15D83732" w14:textId="77777777" w:rsidR="007E18A5" w:rsidRPr="00474FFF" w:rsidRDefault="007E18A5" w:rsidP="00284924">
            <w:pPr>
              <w:rPr>
                <w:sz w:val="20"/>
                <w:szCs w:val="20"/>
              </w:rPr>
            </w:pPr>
          </w:p>
          <w:p w14:paraId="22CA2E37" w14:textId="77777777" w:rsidR="007E18A5" w:rsidRPr="00474FFF" w:rsidRDefault="007E18A5" w:rsidP="00284924">
            <w:pPr>
              <w:rPr>
                <w:sz w:val="20"/>
                <w:szCs w:val="20"/>
              </w:rPr>
            </w:pPr>
          </w:p>
        </w:tc>
        <w:tc>
          <w:tcPr>
            <w:tcW w:w="4110" w:type="dxa"/>
          </w:tcPr>
          <w:p w14:paraId="77A95D57" w14:textId="2F070C05" w:rsidR="007E18A5" w:rsidRPr="00474FFF" w:rsidRDefault="007E18A5" w:rsidP="00284924">
            <w:pPr>
              <w:rPr>
                <w:sz w:val="20"/>
                <w:szCs w:val="20"/>
              </w:rPr>
            </w:pPr>
            <w:r w:rsidRPr="00474FFF">
              <w:rPr>
                <w:sz w:val="20"/>
                <w:szCs w:val="20"/>
              </w:rPr>
              <w:t>Theoretische Einführung in:</w:t>
            </w:r>
          </w:p>
          <w:p w14:paraId="376ECF10" w14:textId="4AE23A6B" w:rsidR="007E18A5" w:rsidRPr="00474FFF" w:rsidRDefault="007E18A5" w:rsidP="00284924">
            <w:pPr>
              <w:rPr>
                <w:sz w:val="20"/>
                <w:szCs w:val="20"/>
              </w:rPr>
            </w:pPr>
            <w:r w:rsidRPr="00474FFF">
              <w:rPr>
                <w:sz w:val="20"/>
                <w:szCs w:val="20"/>
              </w:rPr>
              <w:t>VR-Brillen, Eleven Table Tennis, Konzept für Tischtennis</w:t>
            </w:r>
            <w:r w:rsidR="001E7A57">
              <w:rPr>
                <w:sz w:val="20"/>
                <w:szCs w:val="20"/>
              </w:rPr>
              <w:t xml:space="preserve"> (Lernstationen, weitere Einsatzmöglichkeiten)</w:t>
            </w:r>
            <w:r w:rsidR="00D05BED">
              <w:rPr>
                <w:sz w:val="20"/>
                <w:szCs w:val="20"/>
              </w:rPr>
              <w:t>.</w:t>
            </w:r>
          </w:p>
        </w:tc>
        <w:tc>
          <w:tcPr>
            <w:tcW w:w="2127" w:type="dxa"/>
          </w:tcPr>
          <w:p w14:paraId="310A676A" w14:textId="77777777" w:rsidR="007E18A5" w:rsidRPr="00474FFF" w:rsidRDefault="007E18A5" w:rsidP="00284924">
            <w:pPr>
              <w:rPr>
                <w:sz w:val="20"/>
                <w:szCs w:val="20"/>
              </w:rPr>
            </w:pPr>
            <w:r w:rsidRPr="00474FFF">
              <w:rPr>
                <w:sz w:val="20"/>
                <w:szCs w:val="20"/>
              </w:rPr>
              <w:t>Plenum</w:t>
            </w:r>
          </w:p>
        </w:tc>
        <w:tc>
          <w:tcPr>
            <w:tcW w:w="1701" w:type="dxa"/>
          </w:tcPr>
          <w:p w14:paraId="772E15BC" w14:textId="57F6080A" w:rsidR="007E18A5" w:rsidRPr="00D1659F" w:rsidRDefault="00D1659F" w:rsidP="00284924">
            <w:pPr>
              <w:rPr>
                <w:sz w:val="20"/>
                <w:szCs w:val="20"/>
                <w:lang w:val="en-US"/>
              </w:rPr>
            </w:pPr>
            <w:r>
              <w:rPr>
                <w:sz w:val="20"/>
                <w:szCs w:val="20"/>
              </w:rPr>
              <w:t xml:space="preserve">Ggf. </w:t>
            </w:r>
            <w:r w:rsidR="007E18A5" w:rsidRPr="00D1659F">
              <w:rPr>
                <w:sz w:val="20"/>
                <w:szCs w:val="20"/>
                <w:lang w:val="en-US"/>
              </w:rPr>
              <w:t>PowerPoint</w:t>
            </w:r>
            <w:r>
              <w:rPr>
                <w:sz w:val="20"/>
                <w:szCs w:val="20"/>
                <w:lang w:val="en-US"/>
              </w:rPr>
              <w:t>/Beamer</w:t>
            </w:r>
            <w:r w:rsidR="001E7A57" w:rsidRPr="00D1659F">
              <w:rPr>
                <w:sz w:val="20"/>
                <w:szCs w:val="20"/>
                <w:lang w:val="en-US"/>
              </w:rPr>
              <w:t>, VR Brille</w:t>
            </w:r>
            <w:bookmarkStart w:id="19" w:name="_GoBack"/>
            <w:bookmarkEnd w:id="19"/>
          </w:p>
        </w:tc>
      </w:tr>
      <w:tr w:rsidR="007E18A5" w:rsidRPr="007C30C5" w14:paraId="365F0A3C" w14:textId="4EE12F06" w:rsidTr="001E7A57">
        <w:trPr>
          <w:trHeight w:val="440"/>
        </w:trPr>
        <w:tc>
          <w:tcPr>
            <w:tcW w:w="1555" w:type="dxa"/>
          </w:tcPr>
          <w:p w14:paraId="59E1F285" w14:textId="77777777" w:rsidR="007E18A5" w:rsidRPr="00474FFF" w:rsidRDefault="007E18A5" w:rsidP="00284924">
            <w:pPr>
              <w:rPr>
                <w:sz w:val="20"/>
                <w:szCs w:val="20"/>
              </w:rPr>
            </w:pPr>
            <w:r w:rsidRPr="00474FFF">
              <w:rPr>
                <w:sz w:val="20"/>
                <w:szCs w:val="20"/>
              </w:rPr>
              <w:t>Einführung VR-Brille und App-Nutzung/</w:t>
            </w:r>
          </w:p>
          <w:p w14:paraId="4C21C88F" w14:textId="2A4CE3BC" w:rsidR="007E18A5" w:rsidRPr="00474FFF" w:rsidRDefault="007E18A5" w:rsidP="00284924">
            <w:pPr>
              <w:rPr>
                <w:sz w:val="20"/>
                <w:szCs w:val="20"/>
              </w:rPr>
            </w:pPr>
            <w:r w:rsidRPr="00474FFF">
              <w:rPr>
                <w:sz w:val="20"/>
                <w:szCs w:val="20"/>
              </w:rPr>
              <w:t>3</w:t>
            </w:r>
            <w:r>
              <w:rPr>
                <w:sz w:val="20"/>
                <w:szCs w:val="20"/>
              </w:rPr>
              <w:t>5</w:t>
            </w:r>
            <w:r w:rsidRPr="00474FFF">
              <w:rPr>
                <w:sz w:val="20"/>
                <w:szCs w:val="20"/>
              </w:rPr>
              <w:t xml:space="preserve"> min</w:t>
            </w:r>
          </w:p>
        </w:tc>
        <w:tc>
          <w:tcPr>
            <w:tcW w:w="4110" w:type="dxa"/>
          </w:tcPr>
          <w:p w14:paraId="4717F389" w14:textId="47C398CD" w:rsidR="007E18A5" w:rsidRPr="00474FFF" w:rsidRDefault="007E18A5" w:rsidP="00284924">
            <w:pPr>
              <w:rPr>
                <w:sz w:val="20"/>
                <w:szCs w:val="20"/>
              </w:rPr>
            </w:pPr>
            <w:r w:rsidRPr="00474FFF">
              <w:rPr>
                <w:sz w:val="20"/>
                <w:szCs w:val="20"/>
              </w:rPr>
              <w:t>Einrichtung der Brille: Starten, Begrenzung erstellen, App starten,</w:t>
            </w:r>
            <w:r>
              <w:rPr>
                <w:sz w:val="20"/>
                <w:szCs w:val="20"/>
              </w:rPr>
              <w:t xml:space="preserve"> </w:t>
            </w:r>
            <w:r w:rsidRPr="00474FFF">
              <w:rPr>
                <w:sz w:val="20"/>
                <w:szCs w:val="20"/>
              </w:rPr>
              <w:t>Spiel starten</w:t>
            </w:r>
            <w:r>
              <w:rPr>
                <w:sz w:val="20"/>
                <w:szCs w:val="20"/>
              </w:rPr>
              <w:t xml:space="preserve">, </w:t>
            </w:r>
            <w:r w:rsidRPr="00474FFF">
              <w:rPr>
                <w:sz w:val="20"/>
                <w:szCs w:val="20"/>
              </w:rPr>
              <w:t>Tisch platzieren.</w:t>
            </w:r>
          </w:p>
          <w:p w14:paraId="371EA302" w14:textId="58A2860B" w:rsidR="007E18A5" w:rsidRPr="00474FFF" w:rsidRDefault="007E18A5" w:rsidP="00284924">
            <w:pPr>
              <w:rPr>
                <w:sz w:val="20"/>
                <w:szCs w:val="20"/>
              </w:rPr>
            </w:pPr>
            <w:r w:rsidRPr="00474FFF">
              <w:rPr>
                <w:sz w:val="20"/>
                <w:szCs w:val="20"/>
              </w:rPr>
              <w:t>Freies Einspielen</w:t>
            </w:r>
            <w:r w:rsidR="00F0616A">
              <w:rPr>
                <w:sz w:val="20"/>
                <w:szCs w:val="20"/>
              </w:rPr>
              <w:t xml:space="preserve">: </w:t>
            </w:r>
            <w:r w:rsidRPr="00474FFF">
              <w:rPr>
                <w:sz w:val="20"/>
                <w:szCs w:val="20"/>
              </w:rPr>
              <w:t xml:space="preserve">KI-Gegner, </w:t>
            </w:r>
            <w:r w:rsidR="00F0616A">
              <w:rPr>
                <w:sz w:val="20"/>
                <w:szCs w:val="20"/>
              </w:rPr>
              <w:t>Spiegelfunktion</w:t>
            </w:r>
            <w:r w:rsidRPr="00474FFF">
              <w:rPr>
                <w:sz w:val="20"/>
                <w:szCs w:val="20"/>
              </w:rPr>
              <w:t>, Ballmaschine</w:t>
            </w:r>
          </w:p>
        </w:tc>
        <w:tc>
          <w:tcPr>
            <w:tcW w:w="2127" w:type="dxa"/>
          </w:tcPr>
          <w:p w14:paraId="1A28C63A" w14:textId="196668F9" w:rsidR="007E18A5" w:rsidRPr="00474FFF" w:rsidRDefault="007E18A5" w:rsidP="00284924">
            <w:pPr>
              <w:rPr>
                <w:sz w:val="20"/>
                <w:szCs w:val="20"/>
              </w:rPr>
            </w:pPr>
            <w:r w:rsidRPr="00474FFF">
              <w:rPr>
                <w:sz w:val="20"/>
                <w:szCs w:val="20"/>
              </w:rPr>
              <w:t>Partner</w:t>
            </w:r>
            <w:r>
              <w:rPr>
                <w:sz w:val="20"/>
                <w:szCs w:val="20"/>
              </w:rPr>
              <w:t>*innen</w:t>
            </w:r>
            <w:r w:rsidRPr="00474FFF">
              <w:rPr>
                <w:sz w:val="20"/>
                <w:szCs w:val="20"/>
              </w:rPr>
              <w:t>arbeit</w:t>
            </w:r>
          </w:p>
        </w:tc>
        <w:tc>
          <w:tcPr>
            <w:tcW w:w="1701" w:type="dxa"/>
          </w:tcPr>
          <w:p w14:paraId="29496AE6" w14:textId="1393757C" w:rsidR="007E18A5" w:rsidRPr="00474FFF" w:rsidRDefault="007E18A5" w:rsidP="00284924">
            <w:pPr>
              <w:rPr>
                <w:sz w:val="20"/>
                <w:szCs w:val="20"/>
              </w:rPr>
            </w:pPr>
            <w:r w:rsidRPr="00474FFF">
              <w:rPr>
                <w:sz w:val="20"/>
                <w:szCs w:val="20"/>
              </w:rPr>
              <w:t>VR-Brillen</w:t>
            </w:r>
            <w:r w:rsidR="00D1659F">
              <w:rPr>
                <w:sz w:val="20"/>
                <w:szCs w:val="20"/>
              </w:rPr>
              <w:t>,</w:t>
            </w:r>
            <w:r w:rsidR="00D1659F" w:rsidRPr="00474FFF">
              <w:rPr>
                <w:sz w:val="20"/>
                <w:szCs w:val="20"/>
              </w:rPr>
              <w:t xml:space="preserve"> </w:t>
            </w:r>
            <w:r w:rsidR="00D1659F" w:rsidRPr="00474FFF">
              <w:rPr>
                <w:sz w:val="20"/>
                <w:szCs w:val="20"/>
              </w:rPr>
              <w:t>Anleitung</w:t>
            </w:r>
          </w:p>
          <w:p w14:paraId="0096CC81" w14:textId="77777777" w:rsidR="007E18A5" w:rsidRPr="00474FFF" w:rsidRDefault="007E18A5" w:rsidP="00284924">
            <w:pPr>
              <w:rPr>
                <w:sz w:val="20"/>
                <w:szCs w:val="20"/>
              </w:rPr>
            </w:pPr>
          </w:p>
          <w:p w14:paraId="34302743" w14:textId="77777777" w:rsidR="007E18A5" w:rsidRPr="00474FFF" w:rsidRDefault="007E18A5" w:rsidP="00284924">
            <w:pPr>
              <w:rPr>
                <w:sz w:val="20"/>
                <w:szCs w:val="20"/>
              </w:rPr>
            </w:pPr>
          </w:p>
        </w:tc>
      </w:tr>
      <w:tr w:rsidR="007E18A5" w:rsidRPr="000133C2" w14:paraId="23E8C55C" w14:textId="394995C6" w:rsidTr="001E7A57">
        <w:trPr>
          <w:trHeight w:val="636"/>
        </w:trPr>
        <w:tc>
          <w:tcPr>
            <w:tcW w:w="1555" w:type="dxa"/>
          </w:tcPr>
          <w:p w14:paraId="77187D6B" w14:textId="77777777" w:rsidR="007E18A5" w:rsidRPr="00474FFF" w:rsidRDefault="007E18A5" w:rsidP="00284924">
            <w:pPr>
              <w:rPr>
                <w:sz w:val="20"/>
                <w:szCs w:val="20"/>
              </w:rPr>
            </w:pPr>
            <w:r w:rsidRPr="00474FFF">
              <w:rPr>
                <w:sz w:val="20"/>
                <w:szCs w:val="20"/>
              </w:rPr>
              <w:t>Erprobung Lernstationen/</w:t>
            </w:r>
          </w:p>
          <w:p w14:paraId="01905D53" w14:textId="7A5F0EED" w:rsidR="007E18A5" w:rsidRPr="00474FFF" w:rsidRDefault="007E18A5" w:rsidP="00284924">
            <w:pPr>
              <w:rPr>
                <w:sz w:val="20"/>
                <w:szCs w:val="20"/>
              </w:rPr>
            </w:pPr>
            <w:r w:rsidRPr="00474FFF">
              <w:rPr>
                <w:sz w:val="20"/>
                <w:szCs w:val="20"/>
              </w:rPr>
              <w:t>3</w:t>
            </w:r>
            <w:r w:rsidR="001E7A57">
              <w:rPr>
                <w:sz w:val="20"/>
                <w:szCs w:val="20"/>
              </w:rPr>
              <w:t>5</w:t>
            </w:r>
            <w:r w:rsidRPr="00474FFF">
              <w:rPr>
                <w:sz w:val="20"/>
                <w:szCs w:val="20"/>
              </w:rPr>
              <w:t xml:space="preserve"> Minuten</w:t>
            </w:r>
          </w:p>
        </w:tc>
        <w:tc>
          <w:tcPr>
            <w:tcW w:w="4110" w:type="dxa"/>
          </w:tcPr>
          <w:p w14:paraId="69B615B6" w14:textId="0F40EE80" w:rsidR="00F0616A" w:rsidRDefault="007E18A5" w:rsidP="00284924">
            <w:pPr>
              <w:rPr>
                <w:sz w:val="20"/>
                <w:szCs w:val="20"/>
              </w:rPr>
            </w:pPr>
            <w:r>
              <w:rPr>
                <w:sz w:val="20"/>
                <w:szCs w:val="20"/>
              </w:rPr>
              <w:t>Erläuterung der Problemstellung „Kontrolle von Ballro</w:t>
            </w:r>
            <w:r w:rsidR="00F0616A">
              <w:rPr>
                <w:sz w:val="20"/>
                <w:szCs w:val="20"/>
              </w:rPr>
              <w:t>t</w:t>
            </w:r>
            <w:r>
              <w:rPr>
                <w:sz w:val="20"/>
                <w:szCs w:val="20"/>
              </w:rPr>
              <w:t>ation“</w:t>
            </w:r>
            <w:r w:rsidR="00D05BED">
              <w:rPr>
                <w:sz w:val="20"/>
                <w:szCs w:val="20"/>
              </w:rPr>
              <w:t>.</w:t>
            </w:r>
            <w:r w:rsidR="00F0616A">
              <w:rPr>
                <w:sz w:val="20"/>
                <w:szCs w:val="20"/>
              </w:rPr>
              <w:t xml:space="preserve"> Optional Demonstration von Schnitt an echter Platte mit „Rotationsprüfung“.</w:t>
            </w:r>
          </w:p>
          <w:p w14:paraId="1A58D88D" w14:textId="76FBCBA5" w:rsidR="007E18A5" w:rsidRPr="00474FFF" w:rsidRDefault="007E18A5" w:rsidP="00284924">
            <w:pPr>
              <w:rPr>
                <w:sz w:val="20"/>
                <w:szCs w:val="20"/>
              </w:rPr>
            </w:pPr>
            <w:r w:rsidRPr="00474FFF">
              <w:rPr>
                <w:sz w:val="20"/>
                <w:szCs w:val="20"/>
              </w:rPr>
              <w:t>Schüler*innen bearbeiten zu zweit eine Stationskarte.</w:t>
            </w:r>
          </w:p>
          <w:p w14:paraId="4231863A" w14:textId="4CB8F85A" w:rsidR="007E18A5" w:rsidRDefault="007E18A5" w:rsidP="00284924">
            <w:pPr>
              <w:rPr>
                <w:sz w:val="20"/>
                <w:szCs w:val="20"/>
              </w:rPr>
            </w:pPr>
            <w:r w:rsidRPr="00474FFF">
              <w:rPr>
                <w:sz w:val="20"/>
                <w:szCs w:val="20"/>
              </w:rPr>
              <w:t>Themen können frei gewählt werden: Topspin, Unterschnitt, Sidespin, Transferaufgabe</w:t>
            </w:r>
            <w:r>
              <w:rPr>
                <w:sz w:val="20"/>
                <w:szCs w:val="20"/>
              </w:rPr>
              <w:t xml:space="preserve"> (entspricht einer progressiven Reihenfolge).</w:t>
            </w:r>
          </w:p>
          <w:p w14:paraId="159ABC67" w14:textId="0AC2769F" w:rsidR="007E18A5" w:rsidRPr="00474FFF" w:rsidRDefault="007E18A5" w:rsidP="00284924">
            <w:pPr>
              <w:rPr>
                <w:sz w:val="20"/>
                <w:szCs w:val="20"/>
              </w:rPr>
            </w:pPr>
            <w:r>
              <w:rPr>
                <w:sz w:val="20"/>
                <w:szCs w:val="20"/>
              </w:rPr>
              <w:t xml:space="preserve">Optional kann </w:t>
            </w:r>
            <w:r w:rsidR="00F83FEE">
              <w:rPr>
                <w:sz w:val="20"/>
                <w:szCs w:val="20"/>
              </w:rPr>
              <w:t>anschließend</w:t>
            </w:r>
            <w:r>
              <w:rPr>
                <w:sz w:val="20"/>
                <w:szCs w:val="20"/>
              </w:rPr>
              <w:t xml:space="preserve"> ein Transfer an realen Platten geübt werden, sofern fähige Zuspieler*innen vorhanden sind</w:t>
            </w:r>
            <w:r w:rsidR="00D05BED">
              <w:rPr>
                <w:sz w:val="20"/>
                <w:szCs w:val="20"/>
              </w:rPr>
              <w:t>.</w:t>
            </w:r>
          </w:p>
        </w:tc>
        <w:tc>
          <w:tcPr>
            <w:tcW w:w="2127" w:type="dxa"/>
          </w:tcPr>
          <w:p w14:paraId="54403215" w14:textId="2667F449" w:rsidR="007E18A5" w:rsidRPr="00474FFF" w:rsidRDefault="007E18A5" w:rsidP="00284924">
            <w:pPr>
              <w:rPr>
                <w:sz w:val="20"/>
                <w:szCs w:val="20"/>
              </w:rPr>
            </w:pPr>
            <w:r w:rsidRPr="00474FFF">
              <w:rPr>
                <w:sz w:val="20"/>
                <w:szCs w:val="20"/>
              </w:rPr>
              <w:t>Partner</w:t>
            </w:r>
            <w:r>
              <w:rPr>
                <w:sz w:val="20"/>
                <w:szCs w:val="20"/>
              </w:rPr>
              <w:t>*innen</w:t>
            </w:r>
            <w:r w:rsidRPr="00474FFF">
              <w:rPr>
                <w:sz w:val="20"/>
                <w:szCs w:val="20"/>
              </w:rPr>
              <w:t>arbeit</w:t>
            </w:r>
          </w:p>
          <w:p w14:paraId="3DCE44F8" w14:textId="77777777" w:rsidR="007E18A5" w:rsidRPr="00474FFF" w:rsidRDefault="007E18A5" w:rsidP="00284924">
            <w:pPr>
              <w:rPr>
                <w:sz w:val="20"/>
                <w:szCs w:val="20"/>
              </w:rPr>
            </w:pPr>
          </w:p>
          <w:p w14:paraId="2D38A2CE" w14:textId="77777777" w:rsidR="007E18A5" w:rsidRPr="00474FFF" w:rsidRDefault="007E18A5" w:rsidP="00284924">
            <w:pPr>
              <w:rPr>
                <w:sz w:val="20"/>
                <w:szCs w:val="20"/>
              </w:rPr>
            </w:pPr>
          </w:p>
        </w:tc>
        <w:tc>
          <w:tcPr>
            <w:tcW w:w="1701" w:type="dxa"/>
          </w:tcPr>
          <w:p w14:paraId="76ABC106" w14:textId="2E3D053F" w:rsidR="007E18A5" w:rsidRDefault="007E18A5" w:rsidP="00284924">
            <w:pPr>
              <w:rPr>
                <w:sz w:val="20"/>
                <w:szCs w:val="20"/>
              </w:rPr>
            </w:pPr>
            <w:r w:rsidRPr="00474FFF">
              <w:rPr>
                <w:sz w:val="20"/>
                <w:szCs w:val="20"/>
              </w:rPr>
              <w:t>VR Brillen, Stationskarten</w:t>
            </w:r>
            <w:r w:rsidR="005D4334">
              <w:rPr>
                <w:sz w:val="20"/>
                <w:szCs w:val="20"/>
              </w:rPr>
              <w:t>, Anleitung</w:t>
            </w:r>
          </w:p>
          <w:p w14:paraId="2D6E0AFB" w14:textId="77777777" w:rsidR="007E18A5" w:rsidRDefault="007E18A5" w:rsidP="00284924">
            <w:pPr>
              <w:rPr>
                <w:sz w:val="20"/>
                <w:szCs w:val="20"/>
              </w:rPr>
            </w:pPr>
          </w:p>
          <w:p w14:paraId="70CA81F7" w14:textId="36204324" w:rsidR="007E18A5" w:rsidRPr="00474FFF" w:rsidRDefault="00503CD4" w:rsidP="00284924">
            <w:pPr>
              <w:rPr>
                <w:sz w:val="20"/>
                <w:szCs w:val="20"/>
              </w:rPr>
            </w:pPr>
            <w:r>
              <w:rPr>
                <w:sz w:val="20"/>
                <w:szCs w:val="20"/>
              </w:rPr>
              <w:t xml:space="preserve">Optional: </w:t>
            </w:r>
            <w:r w:rsidR="007E18A5">
              <w:rPr>
                <w:sz w:val="20"/>
                <w:szCs w:val="20"/>
              </w:rPr>
              <w:t>Reale Tischtennisplatten, Schläger und Bälle</w:t>
            </w:r>
          </w:p>
        </w:tc>
      </w:tr>
      <w:tr w:rsidR="007E18A5" w:rsidRPr="00F93CD5" w14:paraId="71871192" w14:textId="4097D6F5" w:rsidTr="001E7A57">
        <w:trPr>
          <w:trHeight w:val="693"/>
        </w:trPr>
        <w:tc>
          <w:tcPr>
            <w:tcW w:w="1555" w:type="dxa"/>
          </w:tcPr>
          <w:p w14:paraId="33E8322A" w14:textId="71C6B6C8" w:rsidR="007E18A5" w:rsidRPr="00474FFF" w:rsidRDefault="007E18A5" w:rsidP="00284924">
            <w:pPr>
              <w:rPr>
                <w:sz w:val="20"/>
                <w:szCs w:val="20"/>
              </w:rPr>
            </w:pPr>
            <w:r w:rsidRPr="00474FFF">
              <w:rPr>
                <w:sz w:val="20"/>
                <w:szCs w:val="20"/>
              </w:rPr>
              <w:t>Reflexion/</w:t>
            </w:r>
          </w:p>
          <w:p w14:paraId="6DD943A1" w14:textId="2B64C578" w:rsidR="007E18A5" w:rsidRPr="00474FFF" w:rsidRDefault="007E18A5" w:rsidP="00284924">
            <w:pPr>
              <w:rPr>
                <w:sz w:val="20"/>
                <w:szCs w:val="20"/>
              </w:rPr>
            </w:pPr>
            <w:r w:rsidRPr="00474FFF">
              <w:rPr>
                <w:sz w:val="20"/>
                <w:szCs w:val="20"/>
              </w:rPr>
              <w:t>1</w:t>
            </w:r>
            <w:r w:rsidR="001E7A57">
              <w:rPr>
                <w:sz w:val="20"/>
                <w:szCs w:val="20"/>
              </w:rPr>
              <w:t>0</w:t>
            </w:r>
            <w:r w:rsidRPr="00474FFF">
              <w:rPr>
                <w:sz w:val="20"/>
                <w:szCs w:val="20"/>
              </w:rPr>
              <w:t xml:space="preserve"> Minuten</w:t>
            </w:r>
          </w:p>
        </w:tc>
        <w:tc>
          <w:tcPr>
            <w:tcW w:w="4110" w:type="dxa"/>
          </w:tcPr>
          <w:p w14:paraId="1D6AD34F" w14:textId="3E28CD2F" w:rsidR="007E18A5" w:rsidRDefault="007E18A5" w:rsidP="00284924">
            <w:pPr>
              <w:rPr>
                <w:sz w:val="20"/>
                <w:szCs w:val="20"/>
              </w:rPr>
            </w:pPr>
            <w:r>
              <w:rPr>
                <w:sz w:val="20"/>
                <w:szCs w:val="20"/>
              </w:rPr>
              <w:t>F</w:t>
            </w:r>
            <w:r w:rsidRPr="00474FFF">
              <w:rPr>
                <w:sz w:val="20"/>
                <w:szCs w:val="20"/>
              </w:rPr>
              <w:t xml:space="preserve">rage zum Lernerfolg: Konntet ihr euer Wissen </w:t>
            </w:r>
            <w:r>
              <w:rPr>
                <w:sz w:val="20"/>
                <w:szCs w:val="20"/>
              </w:rPr>
              <w:t>und eure Fähigkeiten</w:t>
            </w:r>
            <w:r w:rsidRPr="00474FFF">
              <w:rPr>
                <w:sz w:val="20"/>
                <w:szCs w:val="20"/>
              </w:rPr>
              <w:t xml:space="preserve"> verbessern?</w:t>
            </w:r>
          </w:p>
          <w:p w14:paraId="3E545140" w14:textId="5EB24F90" w:rsidR="001E7A57" w:rsidRPr="00474FFF" w:rsidRDefault="001E7A57" w:rsidP="00284924">
            <w:pPr>
              <w:rPr>
                <w:sz w:val="20"/>
                <w:szCs w:val="20"/>
              </w:rPr>
            </w:pPr>
            <w:r>
              <w:rPr>
                <w:sz w:val="20"/>
                <w:szCs w:val="20"/>
              </w:rPr>
              <w:t>Könnt ihr euch vorstellen VR-Tischtennis im Sportunterricht zu verwenden?</w:t>
            </w:r>
          </w:p>
          <w:p w14:paraId="26393FF0" w14:textId="4F715BF9" w:rsidR="001E7A57" w:rsidRPr="00474FFF" w:rsidRDefault="001E7A57" w:rsidP="00284924">
            <w:pPr>
              <w:rPr>
                <w:sz w:val="20"/>
                <w:szCs w:val="20"/>
              </w:rPr>
            </w:pPr>
            <w:r>
              <w:rPr>
                <w:sz w:val="20"/>
                <w:szCs w:val="20"/>
              </w:rPr>
              <w:t>Im Anschluss Reflektion mit teilnehmenden Lehrkräften</w:t>
            </w:r>
            <w:r w:rsidR="00D05BED">
              <w:rPr>
                <w:sz w:val="20"/>
                <w:szCs w:val="20"/>
              </w:rPr>
              <w:t>.</w:t>
            </w:r>
          </w:p>
        </w:tc>
        <w:tc>
          <w:tcPr>
            <w:tcW w:w="2127" w:type="dxa"/>
          </w:tcPr>
          <w:p w14:paraId="7D56A38A" w14:textId="77777777" w:rsidR="007E18A5" w:rsidRPr="00474FFF" w:rsidRDefault="007E18A5" w:rsidP="00284924">
            <w:pPr>
              <w:rPr>
                <w:sz w:val="20"/>
                <w:szCs w:val="20"/>
              </w:rPr>
            </w:pPr>
            <w:r w:rsidRPr="00474FFF">
              <w:rPr>
                <w:sz w:val="20"/>
                <w:szCs w:val="20"/>
              </w:rPr>
              <w:t>Plenum</w:t>
            </w:r>
          </w:p>
        </w:tc>
        <w:tc>
          <w:tcPr>
            <w:tcW w:w="1701" w:type="dxa"/>
          </w:tcPr>
          <w:p w14:paraId="7FCCDEAA" w14:textId="77777777" w:rsidR="007E18A5" w:rsidRPr="00474FFF" w:rsidRDefault="007E18A5" w:rsidP="00284924">
            <w:pPr>
              <w:rPr>
                <w:sz w:val="20"/>
                <w:szCs w:val="20"/>
              </w:rPr>
            </w:pPr>
          </w:p>
        </w:tc>
      </w:tr>
    </w:tbl>
    <w:p w14:paraId="65BA0AF1" w14:textId="108907C8" w:rsidR="005947A8" w:rsidRDefault="005947A8" w:rsidP="005947A8"/>
    <w:p w14:paraId="53989D0B" w14:textId="6AB243ED" w:rsidR="005947A8" w:rsidRDefault="0051420E" w:rsidP="0051420E">
      <w:pPr>
        <w:spacing w:after="160" w:line="259" w:lineRule="auto"/>
      </w:pPr>
      <w:r>
        <w:br w:type="page"/>
      </w:r>
    </w:p>
    <w:p w14:paraId="53E4C8DE" w14:textId="619A5618" w:rsidR="00176B1D" w:rsidRDefault="00176B1D" w:rsidP="00EE2B0B">
      <w:pPr>
        <w:pStyle w:val="berschrift1"/>
      </w:pPr>
      <w:r>
        <w:lastRenderedPageBreak/>
        <w:t>Fortbildungsmaterial</w:t>
      </w:r>
    </w:p>
    <w:p w14:paraId="78E5B1C1" w14:textId="339D91C5" w:rsidR="00176B1D" w:rsidRPr="00176B1D" w:rsidRDefault="00176B1D" w:rsidP="00176B1D">
      <w:pPr>
        <w:pStyle w:val="Listenabsatz"/>
        <w:numPr>
          <w:ilvl w:val="0"/>
          <w:numId w:val="13"/>
        </w:numPr>
        <w:rPr>
          <w:sz w:val="24"/>
        </w:rPr>
      </w:pPr>
      <w:r w:rsidRPr="00176B1D">
        <w:rPr>
          <w:sz w:val="24"/>
        </w:rPr>
        <w:t>Anleitung</w:t>
      </w:r>
      <w:r w:rsidR="004377C0">
        <w:rPr>
          <w:sz w:val="24"/>
        </w:rPr>
        <w:t>.docx</w:t>
      </w:r>
      <w:r w:rsidRPr="00176B1D">
        <w:rPr>
          <w:sz w:val="24"/>
        </w:rPr>
        <w:t xml:space="preserve"> (siehe Anhang)</w:t>
      </w:r>
    </w:p>
    <w:p w14:paraId="7B4C299F" w14:textId="46B9A6AE" w:rsidR="00176B1D" w:rsidRPr="00176B1D" w:rsidRDefault="00176B1D" w:rsidP="00176B1D">
      <w:pPr>
        <w:pStyle w:val="Listenabsatz"/>
        <w:numPr>
          <w:ilvl w:val="0"/>
          <w:numId w:val="13"/>
        </w:numPr>
        <w:rPr>
          <w:sz w:val="24"/>
        </w:rPr>
      </w:pPr>
      <w:r w:rsidRPr="00176B1D">
        <w:rPr>
          <w:sz w:val="24"/>
        </w:rPr>
        <w:t>Stationskarten</w:t>
      </w:r>
      <w:r w:rsidR="004377C0">
        <w:rPr>
          <w:sz w:val="24"/>
        </w:rPr>
        <w:t>.pptx</w:t>
      </w:r>
      <w:r w:rsidRPr="00176B1D">
        <w:rPr>
          <w:sz w:val="24"/>
        </w:rPr>
        <w:t xml:space="preserve"> (siehe Anhang)</w:t>
      </w:r>
    </w:p>
    <w:p w14:paraId="095290C8" w14:textId="77777777" w:rsidR="00176B1D" w:rsidRPr="00176B1D" w:rsidRDefault="00176B1D" w:rsidP="00176B1D"/>
    <w:p w14:paraId="303293C8" w14:textId="77777777" w:rsidR="005947A8" w:rsidRPr="000B4C6A" w:rsidRDefault="005947A8" w:rsidP="00EE2B0B">
      <w:pPr>
        <w:pStyle w:val="berschrift1"/>
      </w:pPr>
      <w:bookmarkStart w:id="20" w:name="_Toc215497461"/>
      <w:bookmarkStart w:id="21" w:name="_Toc215498686"/>
      <w:r w:rsidRPr="000B4C6A">
        <w:t>Literaturverzeichnis</w:t>
      </w:r>
      <w:bookmarkEnd w:id="20"/>
      <w:bookmarkEnd w:id="21"/>
    </w:p>
    <w:p w14:paraId="1D7D48BE" w14:textId="76F65C20" w:rsidR="001E7A57" w:rsidRPr="00176B1D" w:rsidRDefault="0051420E" w:rsidP="0051420E">
      <w:pPr>
        <w:ind w:left="709" w:hanging="709"/>
        <w:rPr>
          <w:color w:val="auto"/>
          <w:sz w:val="22"/>
          <w:lang w:val="en-US"/>
        </w:rPr>
      </w:pPr>
      <w:r w:rsidRPr="00176B1D">
        <w:rPr>
          <w:color w:val="auto"/>
          <w:sz w:val="22"/>
          <w:lang w:val="en-US"/>
        </w:rPr>
        <w:t xml:space="preserve">Di Natale, A. F., Repetto, C., Riva, G., &amp; Villani, D. (2020). </w:t>
      </w:r>
      <w:r w:rsidRPr="0051420E">
        <w:rPr>
          <w:color w:val="auto"/>
          <w:sz w:val="22"/>
          <w:lang w:val="en-US"/>
        </w:rPr>
        <w:t>Immersive virtual reality in K</w:t>
      </w:r>
      <w:r w:rsidRPr="0051420E">
        <w:rPr>
          <w:rFonts w:ascii="Cambria Math" w:hAnsi="Cambria Math" w:cs="Cambria Math"/>
          <w:color w:val="auto"/>
          <w:sz w:val="22"/>
          <w:lang w:val="en-US"/>
        </w:rPr>
        <w:t>‐</w:t>
      </w:r>
      <w:r w:rsidRPr="0051420E">
        <w:rPr>
          <w:color w:val="auto"/>
          <w:sz w:val="22"/>
          <w:lang w:val="en-US"/>
        </w:rPr>
        <w:t>12 and higher education: A 10</w:t>
      </w:r>
      <w:r w:rsidRPr="0051420E">
        <w:rPr>
          <w:rFonts w:ascii="Cambria Math" w:hAnsi="Cambria Math" w:cs="Cambria Math"/>
          <w:color w:val="auto"/>
          <w:sz w:val="22"/>
          <w:lang w:val="en-US"/>
        </w:rPr>
        <w:t>‐</w:t>
      </w:r>
      <w:r w:rsidRPr="0051420E">
        <w:rPr>
          <w:color w:val="auto"/>
          <w:sz w:val="22"/>
          <w:lang w:val="en-US"/>
        </w:rPr>
        <w:t xml:space="preserve">year systematic review of empirical research. </w:t>
      </w:r>
      <w:r w:rsidRPr="00176B1D">
        <w:rPr>
          <w:i/>
          <w:iCs/>
          <w:color w:val="auto"/>
          <w:sz w:val="22"/>
          <w:lang w:val="en-US"/>
        </w:rPr>
        <w:t>British Journal of Educational Technology</w:t>
      </w:r>
      <w:r w:rsidRPr="00176B1D">
        <w:rPr>
          <w:color w:val="auto"/>
          <w:sz w:val="22"/>
          <w:lang w:val="en-US"/>
        </w:rPr>
        <w:t xml:space="preserve">, </w:t>
      </w:r>
      <w:r w:rsidRPr="00176B1D">
        <w:rPr>
          <w:i/>
          <w:iCs/>
          <w:color w:val="auto"/>
          <w:sz w:val="22"/>
          <w:lang w:val="en-US"/>
        </w:rPr>
        <w:t>51</w:t>
      </w:r>
      <w:r w:rsidRPr="00176B1D">
        <w:rPr>
          <w:color w:val="auto"/>
          <w:sz w:val="22"/>
          <w:lang w:val="en-US"/>
        </w:rPr>
        <w:t xml:space="preserve">(6), 2006–2033. </w:t>
      </w:r>
      <w:hyperlink r:id="rId11" w:history="1">
        <w:r w:rsidRPr="00176B1D">
          <w:rPr>
            <w:rStyle w:val="Hyperlink"/>
            <w:color w:val="auto"/>
            <w:sz w:val="22"/>
            <w:lang w:val="en-US"/>
          </w:rPr>
          <w:t>https://doi.org/10.1111/bjet.13030</w:t>
        </w:r>
      </w:hyperlink>
    </w:p>
    <w:p w14:paraId="030E73A2" w14:textId="124CE47A" w:rsidR="0051420E" w:rsidRPr="00176B1D" w:rsidRDefault="0051420E" w:rsidP="0051420E">
      <w:pPr>
        <w:ind w:left="709" w:hanging="709"/>
        <w:rPr>
          <w:color w:val="auto"/>
          <w:sz w:val="22"/>
          <w:lang w:val="en-US"/>
        </w:rPr>
      </w:pPr>
      <w:r w:rsidRPr="0051420E">
        <w:rPr>
          <w:color w:val="auto"/>
          <w:sz w:val="22"/>
          <w:lang w:val="en-US"/>
        </w:rPr>
        <w:t xml:space="preserve">Galatti, L. R., Machado, J. C., Motta, M. D. C., Misuta, M. S., &amp; Belli, T. (2019). Nonlinear Pedagogy and the implications for teaching and training in table tennis. </w:t>
      </w:r>
      <w:r w:rsidRPr="0051420E">
        <w:rPr>
          <w:i/>
          <w:iCs/>
          <w:color w:val="auto"/>
          <w:sz w:val="22"/>
          <w:lang w:val="en-US"/>
        </w:rPr>
        <w:t>Motriz: Revista de Educação Física</w:t>
      </w:r>
      <w:r w:rsidRPr="0051420E">
        <w:rPr>
          <w:color w:val="auto"/>
          <w:sz w:val="22"/>
          <w:lang w:val="en-US"/>
        </w:rPr>
        <w:t xml:space="preserve">, </w:t>
      </w:r>
      <w:r w:rsidRPr="0051420E">
        <w:rPr>
          <w:i/>
          <w:iCs/>
          <w:color w:val="auto"/>
          <w:sz w:val="22"/>
          <w:lang w:val="en-US"/>
        </w:rPr>
        <w:t>25</w:t>
      </w:r>
      <w:r w:rsidRPr="0051420E">
        <w:rPr>
          <w:color w:val="auto"/>
          <w:sz w:val="22"/>
          <w:lang w:val="en-US"/>
        </w:rPr>
        <w:t xml:space="preserve">(1), e101999. </w:t>
      </w:r>
      <w:hyperlink r:id="rId12" w:history="1">
        <w:r w:rsidRPr="0051420E">
          <w:rPr>
            <w:rStyle w:val="Hyperlink"/>
            <w:color w:val="auto"/>
            <w:sz w:val="22"/>
            <w:lang w:val="en-US"/>
          </w:rPr>
          <w:t>https://doi.org/10.1590/s1980-6574201900010015</w:t>
        </w:r>
      </w:hyperlink>
    </w:p>
    <w:p w14:paraId="457C376B" w14:textId="77777777" w:rsidR="0051420E" w:rsidRPr="0051420E" w:rsidRDefault="0051420E" w:rsidP="0051420E">
      <w:pPr>
        <w:ind w:left="709" w:hanging="709"/>
        <w:rPr>
          <w:rFonts w:asciiTheme="majorHAnsi" w:hAnsiTheme="majorHAnsi" w:cstheme="majorHAnsi"/>
          <w:color w:val="auto"/>
          <w:sz w:val="22"/>
          <w:lang w:val="en-US"/>
        </w:rPr>
      </w:pPr>
      <w:r w:rsidRPr="0051420E">
        <w:rPr>
          <w:rFonts w:asciiTheme="majorHAnsi" w:hAnsiTheme="majorHAnsi" w:cstheme="majorHAnsi"/>
          <w:color w:val="auto"/>
          <w:sz w:val="22"/>
          <w:lang w:val="en-US"/>
        </w:rPr>
        <w:t>Greiner, J. &amp; Wagner, I. (submitted). Virtual Reality in Physical Education: A Systematic Literature Review.</w:t>
      </w:r>
    </w:p>
    <w:p w14:paraId="729E4A1E" w14:textId="368FCB6F" w:rsidR="001E7A57" w:rsidRPr="0051420E" w:rsidRDefault="0051420E" w:rsidP="0051420E">
      <w:pPr>
        <w:ind w:left="709" w:hanging="709"/>
        <w:rPr>
          <w:color w:val="auto"/>
          <w:sz w:val="22"/>
          <w:lang w:val="en-US"/>
        </w:rPr>
      </w:pPr>
      <w:r w:rsidRPr="0051420E">
        <w:rPr>
          <w:color w:val="auto"/>
          <w:sz w:val="22"/>
          <w:lang w:val="en-US"/>
        </w:rPr>
        <w:t xml:space="preserve">Karatas, E., Sunday, K., Apak, S. E., Li, Y., Sun, J., Batmaz, A. U., &amp; Barrera Machuca, M. D. (2023). „I consider VR Table Tennis to be my secret </w:t>
      </w:r>
      <w:proofErr w:type="gramStart"/>
      <w:r w:rsidRPr="0051420E">
        <w:rPr>
          <w:color w:val="auto"/>
          <w:sz w:val="22"/>
          <w:lang w:val="en-US"/>
        </w:rPr>
        <w:t>weapon!“</w:t>
      </w:r>
      <w:proofErr w:type="gramEnd"/>
      <w:r w:rsidRPr="0051420E">
        <w:rPr>
          <w:color w:val="auto"/>
          <w:sz w:val="22"/>
          <w:lang w:val="en-US"/>
        </w:rPr>
        <w:t xml:space="preserve">: An Analysis of the VR Table Tennis Players’ Experiences Outside the Lab". </w:t>
      </w:r>
      <w:r w:rsidRPr="0051420E">
        <w:rPr>
          <w:i/>
          <w:iCs/>
          <w:color w:val="auto"/>
          <w:sz w:val="22"/>
          <w:lang w:val="en-US"/>
        </w:rPr>
        <w:t>Proceedings of the 2023 ACM Symposium on Spatial User Interaction</w:t>
      </w:r>
      <w:r w:rsidRPr="0051420E">
        <w:rPr>
          <w:color w:val="auto"/>
          <w:sz w:val="22"/>
          <w:lang w:val="en-US"/>
        </w:rPr>
        <w:t xml:space="preserve">, 1–12. </w:t>
      </w:r>
      <w:hyperlink r:id="rId13" w:history="1">
        <w:r w:rsidRPr="0051420E">
          <w:rPr>
            <w:rStyle w:val="Hyperlink"/>
            <w:color w:val="auto"/>
            <w:sz w:val="22"/>
            <w:lang w:val="en-US"/>
          </w:rPr>
          <w:t>https://doi.org/10.1145/3607822.3614539</w:t>
        </w:r>
      </w:hyperlink>
    </w:p>
    <w:p w14:paraId="19C878DA" w14:textId="647BBBE8" w:rsidR="001E7A57" w:rsidRPr="0051420E" w:rsidRDefault="001E7A57" w:rsidP="0051420E">
      <w:pPr>
        <w:ind w:left="709" w:hanging="709"/>
        <w:rPr>
          <w:color w:val="auto"/>
          <w:sz w:val="22"/>
        </w:rPr>
      </w:pPr>
      <w:r w:rsidRPr="0051420E">
        <w:rPr>
          <w:color w:val="auto"/>
          <w:sz w:val="22"/>
        </w:rPr>
        <w:t xml:space="preserve">Klein-Soetebier, T., &amp; Klingen, P. (2024). </w:t>
      </w:r>
      <w:r w:rsidRPr="0051420E">
        <w:rPr>
          <w:i/>
          <w:iCs/>
          <w:color w:val="auto"/>
          <w:sz w:val="22"/>
        </w:rPr>
        <w:t>Tischtennis im Schulsport: Anregungen und Konzepte zur Gestaltung der eigenen Praxis</w:t>
      </w:r>
      <w:r w:rsidRPr="0051420E">
        <w:rPr>
          <w:color w:val="auto"/>
          <w:sz w:val="22"/>
        </w:rPr>
        <w:t xml:space="preserve">. Springer Berlin Heidelberg. </w:t>
      </w:r>
      <w:hyperlink r:id="rId14" w:history="1">
        <w:r w:rsidRPr="0051420E">
          <w:rPr>
            <w:rStyle w:val="Hyperlink"/>
            <w:color w:val="auto"/>
            <w:sz w:val="22"/>
          </w:rPr>
          <w:t>https://doi.org/10.1007/978-3-662-70105-8</w:t>
        </w:r>
      </w:hyperlink>
    </w:p>
    <w:p w14:paraId="79E4A76B" w14:textId="01115DEC" w:rsidR="0051420E" w:rsidRPr="00176B1D" w:rsidRDefault="0051420E" w:rsidP="0051420E">
      <w:pPr>
        <w:ind w:left="709" w:hanging="709"/>
        <w:rPr>
          <w:color w:val="auto"/>
          <w:sz w:val="22"/>
          <w:lang w:val="en-US"/>
        </w:rPr>
      </w:pPr>
      <w:r w:rsidRPr="00176B1D">
        <w:rPr>
          <w:color w:val="auto"/>
          <w:sz w:val="22"/>
        </w:rPr>
        <w:t xml:space="preserve">Michalski, S. C., Szpak, A., Saredakis, D., Ross, T. J., Billinghurst, M., &amp; Loetscher, T. (2019). </w:t>
      </w:r>
      <w:r w:rsidRPr="0051420E">
        <w:rPr>
          <w:color w:val="auto"/>
          <w:sz w:val="22"/>
          <w:lang w:val="en-US"/>
        </w:rPr>
        <w:t xml:space="preserve">Getting your game on: Using virtual reality to improve real table tennis skills. </w:t>
      </w:r>
      <w:r w:rsidRPr="00176B1D">
        <w:rPr>
          <w:i/>
          <w:iCs/>
          <w:color w:val="auto"/>
          <w:sz w:val="22"/>
          <w:lang w:val="en-US"/>
        </w:rPr>
        <w:t>PLOS ONE</w:t>
      </w:r>
      <w:r w:rsidRPr="00176B1D">
        <w:rPr>
          <w:color w:val="auto"/>
          <w:sz w:val="22"/>
          <w:lang w:val="en-US"/>
        </w:rPr>
        <w:t xml:space="preserve">, </w:t>
      </w:r>
      <w:r w:rsidRPr="00176B1D">
        <w:rPr>
          <w:i/>
          <w:iCs/>
          <w:color w:val="auto"/>
          <w:sz w:val="22"/>
          <w:lang w:val="en-US"/>
        </w:rPr>
        <w:t>14</w:t>
      </w:r>
      <w:r w:rsidRPr="00176B1D">
        <w:rPr>
          <w:color w:val="auto"/>
          <w:sz w:val="22"/>
          <w:lang w:val="en-US"/>
        </w:rPr>
        <w:t xml:space="preserve">(9), e0222351. </w:t>
      </w:r>
      <w:hyperlink r:id="rId15" w:history="1">
        <w:r w:rsidRPr="00176B1D">
          <w:rPr>
            <w:rStyle w:val="Hyperlink"/>
            <w:color w:val="auto"/>
            <w:sz w:val="22"/>
            <w:lang w:val="en-US"/>
          </w:rPr>
          <w:t>https://doi.org/10.1371/journal.pone.0222351</w:t>
        </w:r>
      </w:hyperlink>
    </w:p>
    <w:p w14:paraId="72384467" w14:textId="06FED751" w:rsidR="001E7A57" w:rsidRPr="00176B1D" w:rsidRDefault="001E7A57" w:rsidP="0051420E">
      <w:pPr>
        <w:ind w:left="709" w:hanging="709"/>
        <w:rPr>
          <w:color w:val="auto"/>
          <w:sz w:val="22"/>
          <w:lang w:val="en-US"/>
        </w:rPr>
      </w:pPr>
      <w:r w:rsidRPr="0051420E">
        <w:rPr>
          <w:color w:val="auto"/>
          <w:sz w:val="22"/>
          <w:lang w:val="en-US"/>
        </w:rPr>
        <w:t xml:space="preserve">Nyberg, G., &amp; Larsson, H. (2014). Exploring ‘what’ to learn in physical education. </w:t>
      </w:r>
      <w:r w:rsidRPr="00176B1D">
        <w:rPr>
          <w:i/>
          <w:iCs/>
          <w:color w:val="auto"/>
          <w:sz w:val="22"/>
          <w:lang w:val="en-US"/>
        </w:rPr>
        <w:t>Physical Education and Sport Pedagogy</w:t>
      </w:r>
      <w:r w:rsidRPr="00176B1D">
        <w:rPr>
          <w:color w:val="auto"/>
          <w:sz w:val="22"/>
          <w:lang w:val="en-US"/>
        </w:rPr>
        <w:t xml:space="preserve">, </w:t>
      </w:r>
      <w:r w:rsidRPr="00176B1D">
        <w:rPr>
          <w:i/>
          <w:iCs/>
          <w:color w:val="auto"/>
          <w:sz w:val="22"/>
          <w:lang w:val="en-US"/>
        </w:rPr>
        <w:t>19</w:t>
      </w:r>
      <w:r w:rsidRPr="00176B1D">
        <w:rPr>
          <w:color w:val="auto"/>
          <w:sz w:val="22"/>
          <w:lang w:val="en-US"/>
        </w:rPr>
        <w:t xml:space="preserve">(2), 123–135. </w:t>
      </w:r>
      <w:hyperlink r:id="rId16" w:history="1">
        <w:r w:rsidRPr="00176B1D">
          <w:rPr>
            <w:rStyle w:val="Hyperlink"/>
            <w:color w:val="auto"/>
            <w:sz w:val="22"/>
            <w:lang w:val="en-US"/>
          </w:rPr>
          <w:t>https://doi.org/10.1080/17408989.2012.726982</w:t>
        </w:r>
      </w:hyperlink>
    </w:p>
    <w:p w14:paraId="42004C4B" w14:textId="77777777" w:rsidR="0051420E" w:rsidRPr="0051420E" w:rsidRDefault="0051420E" w:rsidP="0051420E">
      <w:pPr>
        <w:ind w:left="709" w:hanging="709"/>
        <w:rPr>
          <w:color w:val="auto"/>
          <w:sz w:val="22"/>
        </w:rPr>
      </w:pPr>
      <w:r w:rsidRPr="00176B1D">
        <w:rPr>
          <w:color w:val="auto"/>
          <w:sz w:val="22"/>
          <w:lang w:val="en-US"/>
        </w:rPr>
        <w:t xml:space="preserve">Pinder, R. A., Renshaw, I., Davids, K., &amp; Kerhervé, H. (2011). </w:t>
      </w:r>
      <w:r w:rsidRPr="0051420E">
        <w:rPr>
          <w:color w:val="auto"/>
          <w:sz w:val="22"/>
          <w:lang w:val="en-US"/>
        </w:rPr>
        <w:t xml:space="preserve">Principles for the Use of Ball Projection Machines in Elite and Developmental Sport Programmes: </w:t>
      </w:r>
      <w:r w:rsidRPr="0051420E">
        <w:rPr>
          <w:i/>
          <w:iCs/>
          <w:color w:val="auto"/>
          <w:sz w:val="22"/>
          <w:lang w:val="en-US"/>
        </w:rPr>
        <w:t>Sports Medicine</w:t>
      </w:r>
      <w:r w:rsidRPr="0051420E">
        <w:rPr>
          <w:color w:val="auto"/>
          <w:sz w:val="22"/>
          <w:lang w:val="en-US"/>
        </w:rPr>
        <w:t xml:space="preserve">, </w:t>
      </w:r>
      <w:r w:rsidRPr="0051420E">
        <w:rPr>
          <w:i/>
          <w:iCs/>
          <w:color w:val="auto"/>
          <w:sz w:val="22"/>
          <w:lang w:val="en-US"/>
        </w:rPr>
        <w:t>41</w:t>
      </w:r>
      <w:r w:rsidRPr="0051420E">
        <w:rPr>
          <w:color w:val="auto"/>
          <w:sz w:val="22"/>
          <w:lang w:val="en-US"/>
        </w:rPr>
        <w:t xml:space="preserve">(10), 793–800. </w:t>
      </w:r>
      <w:hyperlink r:id="rId17" w:history="1">
        <w:r w:rsidRPr="0051420E">
          <w:rPr>
            <w:rStyle w:val="Hyperlink"/>
            <w:color w:val="auto"/>
            <w:sz w:val="22"/>
          </w:rPr>
          <w:t>https://doi.org/10.2165/11595450-000000000-00000</w:t>
        </w:r>
      </w:hyperlink>
    </w:p>
    <w:p w14:paraId="7996ECF4" w14:textId="77777777" w:rsidR="0051420E" w:rsidRPr="0051420E" w:rsidRDefault="0051420E" w:rsidP="0051420E">
      <w:pPr>
        <w:rPr>
          <w:color w:val="auto"/>
          <w:sz w:val="22"/>
        </w:rPr>
      </w:pPr>
    </w:p>
    <w:p w14:paraId="42CE6D42" w14:textId="128FACE8" w:rsidR="00EE4B26" w:rsidRDefault="00EE4B26" w:rsidP="00425DF3">
      <w:pPr>
        <w:rPr>
          <w:noProof/>
        </w:rPr>
      </w:pPr>
    </w:p>
    <w:p w14:paraId="3F80FB98" w14:textId="77777777" w:rsidR="00EE4B26" w:rsidRDefault="00EE4B26">
      <w:pPr>
        <w:spacing w:after="160" w:line="259" w:lineRule="auto"/>
      </w:pPr>
    </w:p>
    <w:p w14:paraId="7A4101E3" w14:textId="77777777" w:rsidR="00EE4B26" w:rsidRDefault="00EE4B26">
      <w:pPr>
        <w:spacing w:after="160" w:line="259" w:lineRule="auto"/>
      </w:pPr>
    </w:p>
    <w:p w14:paraId="2CF62D30" w14:textId="77777777" w:rsidR="00EE4B26" w:rsidRDefault="00EE4B26">
      <w:pPr>
        <w:spacing w:after="160" w:line="259" w:lineRule="auto"/>
      </w:pPr>
    </w:p>
    <w:p w14:paraId="061A1C4B" w14:textId="77777777" w:rsidR="00EE4B26" w:rsidRDefault="00EE4B26">
      <w:pPr>
        <w:spacing w:after="160" w:line="259" w:lineRule="auto"/>
      </w:pPr>
    </w:p>
    <w:p w14:paraId="02EE520B" w14:textId="7B3046D4" w:rsidR="00EE4B26" w:rsidRDefault="00EE4B26">
      <w:pPr>
        <w:spacing w:after="160" w:line="259" w:lineRule="auto"/>
        <w:sectPr w:rsidR="00EE4B26" w:rsidSect="0021586E">
          <w:headerReference w:type="default" r:id="rId18"/>
          <w:footerReference w:type="default" r:id="rId19"/>
          <w:pgSz w:w="11906" w:h="16838"/>
          <w:pgMar w:top="1418" w:right="1418" w:bottom="1701" w:left="1418" w:header="454" w:footer="709" w:gutter="0"/>
          <w:cols w:space="708"/>
          <w:docGrid w:linePitch="360"/>
        </w:sectPr>
      </w:pPr>
    </w:p>
    <w:p w14:paraId="22C8034A" w14:textId="29C197EE" w:rsidR="003B0459" w:rsidRDefault="003B0459">
      <w:pPr>
        <w:spacing w:after="160" w:line="259" w:lineRule="auto"/>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4678"/>
        <w:gridCol w:w="4382"/>
      </w:tblGrid>
      <w:tr w:rsidR="005F745D" w14:paraId="679E62D6" w14:textId="77777777" w:rsidTr="003B6A0C">
        <w:tc>
          <w:tcPr>
            <w:tcW w:w="4678" w:type="dxa"/>
          </w:tcPr>
          <w:bookmarkEnd w:id="0"/>
          <w:p w14:paraId="1E6DE1B7" w14:textId="77777777" w:rsidR="005F745D" w:rsidRPr="000E6ABB" w:rsidRDefault="005F745D" w:rsidP="005F745D">
            <w:pPr>
              <w:pStyle w:val="StandardBold"/>
              <w:rPr>
                <w:noProof/>
              </w:rPr>
            </w:pPr>
            <w:r>
              <w:rPr>
                <w:noProof/>
              </w:rPr>
              <w:t>Erschienen im</w:t>
            </w:r>
          </w:p>
          <w:p w14:paraId="7878FCB9" w14:textId="77777777" w:rsidR="005F745D" w:rsidRDefault="005F745D" w:rsidP="005F745D">
            <w:pPr>
              <w:rPr>
                <w:noProof/>
              </w:rPr>
            </w:pPr>
            <w:r>
              <w:rPr>
                <w:noProof/>
              </w:rPr>
              <w:t>Kompetenzverbund lernen:digital</w:t>
            </w:r>
          </w:p>
          <w:p w14:paraId="54843DD7" w14:textId="77777777" w:rsidR="005F745D" w:rsidRPr="000E6ABB" w:rsidRDefault="005F745D" w:rsidP="005F745D">
            <w:pPr>
              <w:rPr>
                <w:noProof/>
              </w:rPr>
            </w:pPr>
            <w:r w:rsidRPr="0019158A">
              <w:rPr>
                <w:noProof/>
              </w:rPr>
              <w:t>Marlene-Dietrich-Allee 16</w:t>
            </w:r>
            <w:r>
              <w:rPr>
                <w:noProof/>
              </w:rPr>
              <w:t>,</w:t>
            </w:r>
            <w:r w:rsidRPr="000E6ABB">
              <w:rPr>
                <w:noProof/>
              </w:rPr>
              <w:t xml:space="preserve"> </w:t>
            </w:r>
            <w:r>
              <w:rPr>
                <w:noProof/>
              </w:rPr>
              <w:t>14482</w:t>
            </w:r>
            <w:r w:rsidRPr="000E6ABB">
              <w:rPr>
                <w:noProof/>
              </w:rPr>
              <w:t xml:space="preserve"> Potsdam</w:t>
            </w:r>
          </w:p>
          <w:p w14:paraId="70454BE0" w14:textId="77777777" w:rsidR="005F745D" w:rsidRDefault="005F745D" w:rsidP="005F745D">
            <w:pPr>
              <w:rPr>
                <w:noProof/>
              </w:rPr>
            </w:pPr>
            <w:r>
              <w:rPr>
                <w:noProof/>
              </w:rPr>
              <w:t xml:space="preserve">Tel: </w:t>
            </w:r>
            <w:r w:rsidRPr="0019158A">
              <w:rPr>
                <w:noProof/>
              </w:rPr>
              <w:t>0331-977-256362</w:t>
            </w:r>
          </w:p>
          <w:p w14:paraId="2D7CCA5C" w14:textId="375AED70" w:rsidR="005F745D" w:rsidRPr="000E6ABB" w:rsidRDefault="005F745D" w:rsidP="005F745D">
            <w:pPr>
              <w:rPr>
                <w:noProof/>
              </w:rPr>
            </w:pPr>
            <w:r w:rsidRPr="000E6ABB">
              <w:rPr>
                <w:noProof/>
              </w:rPr>
              <w:t>E-Mail:</w:t>
            </w:r>
            <w:r>
              <w:rPr>
                <w:noProof/>
              </w:rPr>
              <w:t xml:space="preserve"> </w:t>
            </w:r>
            <w:r w:rsidRPr="0019158A">
              <w:rPr>
                <w:noProof/>
              </w:rPr>
              <w:t>geschaeftsstelle@lernen.digital</w:t>
            </w:r>
          </w:p>
          <w:p w14:paraId="276BFA2C" w14:textId="77777777" w:rsidR="005F745D" w:rsidRDefault="005F745D" w:rsidP="005F745D">
            <w:pPr>
              <w:rPr>
                <w:noProof/>
              </w:rPr>
            </w:pPr>
          </w:p>
          <w:p w14:paraId="74694026" w14:textId="77777777" w:rsidR="005F745D" w:rsidRDefault="005F745D" w:rsidP="005F745D">
            <w:pPr>
              <w:rPr>
                <w:rFonts w:ascii="Kantumruy Pro SemiBold" w:hAnsi="Kantumruy Pro SemiBold"/>
                <w:noProof/>
              </w:rPr>
            </w:pPr>
            <w:r w:rsidRPr="00172815">
              <w:rPr>
                <w:rFonts w:ascii="Kantumruy Pro SemiBold" w:hAnsi="Kantumruy Pro SemiBold"/>
                <w:noProof/>
              </w:rPr>
              <w:t>Projektverbund</w:t>
            </w:r>
          </w:p>
          <w:p w14:paraId="04CEEDAA" w14:textId="5DF9406E" w:rsidR="005F745D" w:rsidRDefault="00593B1E" w:rsidP="005F745D">
            <w:pPr>
              <w:rPr>
                <w:noProof/>
              </w:rPr>
            </w:pPr>
            <w:r>
              <w:rPr>
                <w:noProof/>
              </w:rPr>
              <w:t>KuMuS-ProNeD</w:t>
            </w:r>
          </w:p>
          <w:p w14:paraId="11804FFA" w14:textId="77777777" w:rsidR="005F745D" w:rsidRDefault="005F745D" w:rsidP="005F745D">
            <w:pPr>
              <w:rPr>
                <w:noProof/>
              </w:rPr>
            </w:pPr>
          </w:p>
          <w:p w14:paraId="0288ECA9" w14:textId="77777777" w:rsidR="005F745D" w:rsidRDefault="005F745D" w:rsidP="005F745D">
            <w:pPr>
              <w:pStyle w:val="StandardBold"/>
              <w:rPr>
                <w:noProof/>
              </w:rPr>
            </w:pPr>
            <w:r>
              <w:rPr>
                <w:noProof/>
              </w:rPr>
              <w:t>Datum der Erstveröffentlichung</w:t>
            </w:r>
          </w:p>
          <w:p w14:paraId="59EBC3C5" w14:textId="587D6612" w:rsidR="005F745D" w:rsidRPr="004377C0" w:rsidRDefault="004377C0" w:rsidP="005F745D">
            <w:pPr>
              <w:rPr>
                <w:noProof/>
                <w:color w:val="auto"/>
              </w:rPr>
            </w:pPr>
            <w:r w:rsidRPr="004377C0">
              <w:rPr>
                <w:noProof/>
                <w:color w:val="auto"/>
              </w:rPr>
              <w:t>Dezember, 2025</w:t>
            </w:r>
            <w:r w:rsidR="005F745D" w:rsidRPr="004377C0">
              <w:rPr>
                <w:noProof/>
                <w:color w:val="auto"/>
              </w:rPr>
              <w:t xml:space="preserve"> </w:t>
            </w:r>
          </w:p>
          <w:p w14:paraId="44C23522" w14:textId="77777777" w:rsidR="005F745D" w:rsidRDefault="005F745D" w:rsidP="005F745D">
            <w:pPr>
              <w:rPr>
                <w:noProof/>
              </w:rPr>
            </w:pPr>
          </w:p>
          <w:p w14:paraId="697D3EA7" w14:textId="77777777" w:rsidR="005F745D" w:rsidRDefault="005F745D" w:rsidP="005F745D">
            <w:pPr>
              <w:rPr>
                <w:b/>
                <w:bCs/>
                <w:noProof/>
              </w:rPr>
            </w:pPr>
            <w:r w:rsidRPr="008508E8">
              <w:rPr>
                <w:b/>
                <w:bCs/>
                <w:noProof/>
              </w:rPr>
              <w:t>Autor:innen</w:t>
            </w:r>
          </w:p>
          <w:p w14:paraId="64BDA475" w14:textId="370673C5" w:rsidR="005F745D" w:rsidRDefault="00C141F8" w:rsidP="005F745D">
            <w:pPr>
              <w:rPr>
                <w:noProof/>
              </w:rPr>
            </w:pPr>
            <w:r>
              <w:rPr>
                <w:noProof/>
              </w:rPr>
              <w:t xml:space="preserve">Greiner, J. &amp; </w:t>
            </w:r>
            <w:r w:rsidR="00593B1E">
              <w:rPr>
                <w:noProof/>
              </w:rPr>
              <w:t xml:space="preserve">Prof. Dr. </w:t>
            </w:r>
            <w:r>
              <w:rPr>
                <w:noProof/>
              </w:rPr>
              <w:t>Wagner, I.</w:t>
            </w:r>
          </w:p>
        </w:tc>
        <w:tc>
          <w:tcPr>
            <w:tcW w:w="4382" w:type="dxa"/>
          </w:tcPr>
          <w:p w14:paraId="3387A54F" w14:textId="77777777" w:rsidR="005F745D" w:rsidRPr="000E6ABB" w:rsidRDefault="005F745D" w:rsidP="005F745D">
            <w:pPr>
              <w:pStyle w:val="StandardBold"/>
              <w:rPr>
                <w:noProof/>
              </w:rPr>
            </w:pPr>
            <w:r w:rsidRPr="000E6ABB">
              <w:rPr>
                <w:noProof/>
              </w:rPr>
              <w:t>Zitierhinweis</w:t>
            </w:r>
          </w:p>
          <w:p w14:paraId="75DDA056" w14:textId="02D675BB" w:rsidR="005F745D" w:rsidRPr="00D60DCF" w:rsidRDefault="00593B1E" w:rsidP="005F745D">
            <w:pPr>
              <w:rPr>
                <w:noProof/>
              </w:rPr>
            </w:pPr>
            <w:r>
              <w:rPr>
                <w:noProof/>
              </w:rPr>
              <w:t xml:space="preserve">Greiner, J. &amp; Wagner, I. </w:t>
            </w:r>
            <w:r w:rsidR="005F745D" w:rsidRPr="000E6ABB">
              <w:rPr>
                <w:noProof/>
              </w:rPr>
              <w:t xml:space="preserve"> (</w:t>
            </w:r>
            <w:r>
              <w:rPr>
                <w:noProof/>
              </w:rPr>
              <w:t>2025</w:t>
            </w:r>
            <w:r w:rsidR="005F745D" w:rsidRPr="000E6ABB">
              <w:rPr>
                <w:noProof/>
              </w:rPr>
              <w:t xml:space="preserve">). </w:t>
            </w:r>
            <w:r w:rsidRPr="00593B1E">
              <w:rPr>
                <w:noProof/>
              </w:rPr>
              <w:t>Szenario für Virtual-Reality-Tischtennis im Sportunterricht</w:t>
            </w:r>
            <w:r w:rsidR="005F745D" w:rsidRPr="000E6ABB">
              <w:rPr>
                <w:noProof/>
              </w:rPr>
              <w:t xml:space="preserve">. </w:t>
            </w:r>
            <w:r w:rsidR="005F745D">
              <w:rPr>
                <w:i/>
                <w:iCs/>
                <w:noProof/>
              </w:rPr>
              <w:t>Kompetenzverbund lernen:digital</w:t>
            </w:r>
            <w:r w:rsidR="005F745D">
              <w:rPr>
                <w:noProof/>
              </w:rPr>
              <w:t xml:space="preserve">. </w:t>
            </w:r>
            <w:r w:rsidR="005F745D" w:rsidRPr="00D60DCF">
              <w:rPr>
                <w:noProof/>
              </w:rPr>
              <w:t>Musterlink https://lernen.digital/2024/07/24/https-lernen-digital-2024-07-23-schulterschluss-mit-der-praxis-lernen-digital-stellt-sich-in-schleswig-holstein-vor/</w:t>
            </w:r>
            <w:r w:rsidR="005F745D" w:rsidRPr="00D60DCF">
              <w:rPr>
                <w:noProof/>
              </w:rPr>
              <w:br/>
            </w:r>
          </w:p>
          <w:p w14:paraId="3232F2EE" w14:textId="6BEA40A5" w:rsidR="005F745D" w:rsidRDefault="005F745D" w:rsidP="005F745D">
            <w:pPr>
              <w:rPr>
                <w:noProof/>
              </w:rPr>
            </w:pPr>
          </w:p>
        </w:tc>
      </w:tr>
    </w:tbl>
    <w:p w14:paraId="42429C6F" w14:textId="77777777" w:rsidR="00BC3566" w:rsidRDefault="00BC3566" w:rsidP="00BC3566"/>
    <w:p w14:paraId="10782F5C" w14:textId="77777777" w:rsidR="00BC3566" w:rsidRDefault="00BC3566" w:rsidP="00BC3566"/>
    <w:p w14:paraId="6DBD9883" w14:textId="77777777" w:rsidR="00BC3566" w:rsidRDefault="00BC3566" w:rsidP="00BC3566"/>
    <w:p w14:paraId="1D90CD5B" w14:textId="77777777" w:rsidR="00BC3566" w:rsidRDefault="00BC3566" w:rsidP="00BC3566"/>
    <w:p w14:paraId="5722E7F6" w14:textId="77777777" w:rsidR="00BC3566" w:rsidRDefault="00BC3566" w:rsidP="00BC3566"/>
    <w:p w14:paraId="7129A247" w14:textId="77777777" w:rsidR="00BC3566" w:rsidRDefault="00BC3566" w:rsidP="00BC3566"/>
    <w:p w14:paraId="65437CCB" w14:textId="77777777" w:rsidR="00BC3566" w:rsidRDefault="00BC3566" w:rsidP="00BC3566"/>
    <w:p w14:paraId="69177373" w14:textId="77777777" w:rsidR="00BC3566" w:rsidRDefault="00BC3566" w:rsidP="00BC3566"/>
    <w:p w14:paraId="43B4FEB5" w14:textId="3BB61524" w:rsidR="00BC3566" w:rsidRDefault="00BC3566" w:rsidP="00BC3566">
      <w:pPr>
        <w:rPr>
          <w:noProof/>
        </w:rPr>
      </w:pPr>
      <w:r>
        <w:rPr>
          <w:noProof/>
        </w:rPr>
        <w:t xml:space="preserve">Die vorliegende Veröffentlichung ist im Rahmen des Projektverbunds </w:t>
      </w:r>
      <w:r w:rsidR="00593B1E">
        <w:rPr>
          <w:noProof/>
        </w:rPr>
        <w:t>KuMuS-ProNeD</w:t>
      </w:r>
      <w:r>
        <w:rPr>
          <w:noProof/>
        </w:rPr>
        <w:t xml:space="preserve"> für das Kompetenzzentrum </w:t>
      </w:r>
      <w:r w:rsidR="00593B1E" w:rsidRPr="00593B1E">
        <w:rPr>
          <w:noProof/>
          <w:color w:val="auto"/>
        </w:rPr>
        <w:t>Musik/Kunst/Sport</w:t>
      </w:r>
      <w:r w:rsidRPr="00593B1E">
        <w:rPr>
          <w:noProof/>
          <w:color w:val="auto"/>
        </w:rPr>
        <w:t xml:space="preserve"> </w:t>
      </w:r>
      <w:r>
        <w:rPr>
          <w:noProof/>
        </w:rPr>
        <w:t xml:space="preserve">im Kompetenzverbund lernen:digital entstanden. </w:t>
      </w:r>
    </w:p>
    <w:p w14:paraId="119C503B" w14:textId="77777777" w:rsidR="00BC3566" w:rsidRDefault="00BC3566" w:rsidP="00BC3566">
      <w:pPr>
        <w:rPr>
          <w:noProof/>
        </w:rPr>
      </w:pPr>
    </w:p>
    <w:p w14:paraId="0442AD18" w14:textId="7B5E4A22" w:rsidR="0086323E" w:rsidRPr="00425DF3" w:rsidRDefault="00BC3566" w:rsidP="0086323E">
      <w:pPr>
        <w:rPr>
          <w:noProof/>
        </w:rPr>
      </w:pPr>
      <w:r>
        <w:rPr>
          <w:noProof/>
        </w:rPr>
        <w:t>Finanziert durch die Europäische Union – NextGenerationEU und gefördert durch das Bundesministerium für Bildung und Forschung. Die geäußerten Ansichten und Meinungen sind ausschließlich die des Autors/der Autorin und spiegeln nicht unbedingt die Ansichten der Europäischen Union, Europäischen Kommission oder des Bundesministeriums für Bildung und Forschung wider. Weder Europäische Union, Europäische Kommission noch das Bundesministerium für Bildung und Forschung können für sie verantwortlich gemacht werden.</w:t>
      </w:r>
    </w:p>
    <w:sectPr w:rsidR="0086323E" w:rsidRPr="00425DF3" w:rsidSect="0086323E">
      <w:headerReference w:type="default" r:id="rId20"/>
      <w:footerReference w:type="default" r:id="rId21"/>
      <w:pgSz w:w="11906" w:h="16838"/>
      <w:pgMar w:top="3345" w:right="1418" w:bottom="425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B476D3" w14:textId="77777777" w:rsidR="00E14E66" w:rsidRDefault="00E14E66" w:rsidP="00BB7706">
      <w:pPr>
        <w:spacing w:line="240" w:lineRule="auto"/>
      </w:pPr>
      <w:r>
        <w:separator/>
      </w:r>
    </w:p>
  </w:endnote>
  <w:endnote w:type="continuationSeparator" w:id="0">
    <w:p w14:paraId="347DC823" w14:textId="77777777" w:rsidR="00E14E66" w:rsidRDefault="00E14E66" w:rsidP="00BB77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mbria"/>
    <w:charset w:val="00"/>
    <w:family w:val="swiss"/>
    <w:pitch w:val="variable"/>
    <w:sig w:usb0="20000287" w:usb1="00000003" w:usb2="00000000" w:usb3="00000000" w:csb0="0000019F" w:csb1="00000000"/>
  </w:font>
  <w:font w:name="Kantumruy Pro">
    <w:altName w:val="Cambria"/>
    <w:charset w:val="00"/>
    <w:family w:val="auto"/>
    <w:pitch w:val="variable"/>
    <w:sig w:usb0="80000023" w:usb1="00000002" w:usb2="00010000" w:usb3="00000000" w:csb0="00000001" w:csb1="00000000"/>
  </w:font>
  <w:font w:name="Kantumruy Pro SemiBold">
    <w:altName w:val="Khmer UI"/>
    <w:charset w:val="00"/>
    <w:family w:val="auto"/>
    <w:pitch w:val="variable"/>
    <w:sig w:usb0="80000023" w:usb1="00000002" w:usb2="0001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5EA8C" w14:textId="594140AC" w:rsidR="005C20F1" w:rsidRDefault="005C20F1" w:rsidP="005C20F1">
    <w:pPr>
      <w:framePr w:w="9072" w:h="981" w:hRule="exact" w:hSpace="142" w:wrap="around" w:vAnchor="page" w:hAnchor="page" w:x="1419" w:y="13671" w:anchorLock="1"/>
      <w:spacing w:line="240" w:lineRule="exact"/>
      <w:rPr>
        <w:noProof/>
      </w:rPr>
    </w:pPr>
    <w:bookmarkStart w:id="1" w:name="_Hlk215498932"/>
    <w:bookmarkStart w:id="2" w:name="_Hlk215498933"/>
    <w:r w:rsidRPr="00343ED5">
      <w:rPr>
        <w:noProof/>
      </w:rPr>
      <w:t xml:space="preserve">Dieses Produkt ist unter der Lizenz </w:t>
    </w:r>
    <w:hyperlink r:id="rId1" w:history="1">
      <w:r w:rsidRPr="00C76542">
        <w:rPr>
          <w:rStyle w:val="Formatvorlage1"/>
        </w:rPr>
        <w:t>CC BY 4.0</w:t>
      </w:r>
    </w:hyperlink>
    <w:r w:rsidRPr="00343ED5">
      <w:rPr>
        <w:noProof/>
      </w:rPr>
      <w:t xml:space="preserve"> veröffentlicht. </w:t>
    </w:r>
    <w:r w:rsidRPr="00806ABD">
      <w:rPr>
        <w:noProof/>
      </w:rPr>
      <w:t>Von der Lizenz ausgenommen sind Logos, Zitate sowie anders gekennzeichnete Materialien und Abbildungen.</w:t>
    </w:r>
    <w:r w:rsidRPr="00343ED5">
      <w:rPr>
        <w:noProof/>
      </w:rPr>
      <w:t xml:space="preserve"> Die Urheber:innen sollen bei der Weiterverwendung wie folgt angegeben werden</w:t>
    </w:r>
    <w:r>
      <w:rPr>
        <w:noProof/>
      </w:rPr>
      <w:t>:</w:t>
    </w:r>
    <w:r w:rsidRPr="00343ED5">
      <w:rPr>
        <w:noProof/>
      </w:rPr>
      <w:t xml:space="preserve"> </w:t>
    </w:r>
    <w:r>
      <w:rPr>
        <w:noProof/>
      </w:rPr>
      <w:t xml:space="preserve">Greiner, J. &amp; Wagner, I., </w:t>
    </w:r>
    <w:r w:rsidRPr="00C07AAC">
      <w:rPr>
        <w:noProof/>
      </w:rPr>
      <w:t>Kompetenzverbund lernen:digital</w:t>
    </w:r>
    <w:r>
      <w:rPr>
        <w:noProof/>
      </w:rPr>
      <w:t>,</w:t>
    </w:r>
    <w:r w:rsidRPr="00343ED5">
      <w:rPr>
        <w:noProof/>
      </w:rPr>
      <w:t xml:space="preserve"> entstanden im Projektverbund </w:t>
    </w:r>
    <w:r>
      <w:rPr>
        <w:noProof/>
      </w:rPr>
      <w:t>KuMuS-ProNeD.</w:t>
    </w:r>
  </w:p>
  <w:p w14:paraId="3FF6E6F4" w14:textId="78F5C94B" w:rsidR="00BB7706" w:rsidRDefault="00226698" w:rsidP="00503CD4">
    <w:pPr>
      <w:pStyle w:val="Fuzeile"/>
      <w:tabs>
        <w:tab w:val="clear" w:pos="4536"/>
        <w:tab w:val="clear" w:pos="9072"/>
        <w:tab w:val="left" w:pos="6373"/>
      </w:tabs>
    </w:pPr>
    <w:r>
      <w:rPr>
        <w:noProof/>
      </w:rPr>
      <w:drawing>
        <wp:anchor distT="0" distB="0" distL="114300" distR="114300" simplePos="0" relativeHeight="251691008" behindDoc="0" locked="0" layoutInCell="1" allowOverlap="1" wp14:anchorId="12C9C9C6" wp14:editId="1F6F7E75">
          <wp:simplePos x="0" y="0"/>
          <wp:positionH relativeFrom="column">
            <wp:posOffset>1679462</wp:posOffset>
          </wp:positionH>
          <wp:positionV relativeFrom="paragraph">
            <wp:posOffset>-136525</wp:posOffset>
          </wp:positionV>
          <wp:extent cx="901700" cy="405765"/>
          <wp:effectExtent l="0" t="0" r="0" b="0"/>
          <wp:wrapSquare wrapText="bothSides"/>
          <wp:docPr id="20" name="Grafik 20" descr="Pädagogische Hochschule Ludwigsburg – Wikip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ädagogische Hochschule Ludwigsburg – Wikipedi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01700" cy="4057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89984" behindDoc="0" locked="0" layoutInCell="1" allowOverlap="1" wp14:anchorId="1E09E84A" wp14:editId="1144C7ED">
          <wp:simplePos x="0" y="0"/>
          <wp:positionH relativeFrom="column">
            <wp:posOffset>2730387</wp:posOffset>
          </wp:positionH>
          <wp:positionV relativeFrom="paragraph">
            <wp:posOffset>-135272</wp:posOffset>
          </wp:positionV>
          <wp:extent cx="756285" cy="377825"/>
          <wp:effectExtent l="0" t="0" r="5715" b="3175"/>
          <wp:wrapSquare wrapText="bothSides"/>
          <wp:docPr id="18" name="Grafik 18" descr="Datei:Logo KIT.svg – Wikip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tei:Logo KIT.svg – Wikipedi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56285" cy="377825"/>
                  </a:xfrm>
                  <a:prstGeom prst="rect">
                    <a:avLst/>
                  </a:prstGeom>
                  <a:noFill/>
                  <a:ln>
                    <a:noFill/>
                  </a:ln>
                </pic:spPr>
              </pic:pic>
            </a:graphicData>
          </a:graphic>
        </wp:anchor>
      </w:drawing>
    </w:r>
    <w:r w:rsidR="00C21B97" w:rsidRPr="00C21B97">
      <w:rPr>
        <w:noProof/>
      </w:rPr>
      <mc:AlternateContent>
        <mc:Choice Requires="wps">
          <w:drawing>
            <wp:anchor distT="0" distB="0" distL="114300" distR="114300" simplePos="0" relativeHeight="251682816" behindDoc="1" locked="1" layoutInCell="1" allowOverlap="1" wp14:anchorId="1B74606E" wp14:editId="3D479477">
              <wp:simplePos x="0" y="0"/>
              <wp:positionH relativeFrom="column">
                <wp:posOffset>-904875</wp:posOffset>
              </wp:positionH>
              <wp:positionV relativeFrom="page">
                <wp:posOffset>8411845</wp:posOffset>
              </wp:positionV>
              <wp:extent cx="7559675" cy="1097915"/>
              <wp:effectExtent l="0" t="0" r="3175" b="6985"/>
              <wp:wrapNone/>
              <wp:docPr id="1" name="Rechteck 8"/>
              <wp:cNvGraphicFramePr/>
              <a:graphic xmlns:a="http://schemas.openxmlformats.org/drawingml/2006/main">
                <a:graphicData uri="http://schemas.microsoft.com/office/word/2010/wordprocessingShape">
                  <wps:wsp>
                    <wps:cNvSpPr/>
                    <wps:spPr>
                      <a:xfrm>
                        <a:off x="0" y="0"/>
                        <a:ext cx="7559675" cy="1097915"/>
                      </a:xfrm>
                      <a:prstGeom prst="rect">
                        <a:avLst/>
                      </a:prstGeom>
                      <a:solidFill>
                        <a:schemeClr val="accent5"/>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27AFDB" id="Rechteck 8" o:spid="_x0000_s1026" style="position:absolute;margin-left:-71.25pt;margin-top:662.35pt;width:595.25pt;height:86.4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" fillcolor="#b4e0e8 [3208]" stroked="f" strokeweight="1pt">
              <w10:wrap anchory="page"/>
              <w10:anchorlock/>
            </v:rect>
          </w:pict>
        </mc:Fallback>
      </mc:AlternateContent>
    </w:r>
    <w:r w:rsidR="00C21B97" w:rsidRPr="00C21B97">
      <w:rPr>
        <w:noProof/>
      </w:rPr>
      <w:drawing>
        <wp:anchor distT="0" distB="0" distL="114300" distR="114300" simplePos="0" relativeHeight="251683840" behindDoc="1" locked="1" layoutInCell="1" allowOverlap="1" wp14:anchorId="6546F275" wp14:editId="54F3E481">
          <wp:simplePos x="0" y="0"/>
          <wp:positionH relativeFrom="column">
            <wp:posOffset>-4445</wp:posOffset>
          </wp:positionH>
          <wp:positionV relativeFrom="page">
            <wp:posOffset>8531225</wp:posOffset>
          </wp:positionV>
          <wp:extent cx="143510" cy="143510"/>
          <wp:effectExtent l="0" t="0" r="8890" b="8890"/>
          <wp:wrapNone/>
          <wp:docPr id="2"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252600" name="Grafik 559252600"/>
                  <pic:cNvPicPr/>
                </pic:nvPicPr>
                <pic:blipFill>
                  <a:blip r:embed="rId4">
                    <a:extLst>
                      <a:ext uri="{96DAC541-7B7A-43D3-8B79-37D633B846F1}">
                        <asvg:svgBlip xmlns:asvg="http://schemas.microsoft.com/office/drawing/2016/SVG/main" r:embed="rId5"/>
                      </a:ext>
                    </a:extLst>
                  </a:blip>
                  <a:stretch>
                    <a:fillRect/>
                  </a:stretch>
                </pic:blipFill>
                <pic:spPr>
                  <a:xfrm>
                    <a:off x="0" y="0"/>
                    <a:ext cx="143510" cy="143510"/>
                  </a:xfrm>
                  <a:prstGeom prst="rect">
                    <a:avLst/>
                  </a:prstGeom>
                </pic:spPr>
              </pic:pic>
            </a:graphicData>
          </a:graphic>
          <wp14:sizeRelH relativeFrom="margin">
            <wp14:pctWidth>0</wp14:pctWidth>
          </wp14:sizeRelH>
          <wp14:sizeRelV relativeFrom="margin">
            <wp14:pctHeight>0</wp14:pctHeight>
          </wp14:sizeRelV>
        </wp:anchor>
      </w:drawing>
    </w:r>
    <w:r w:rsidR="00C21B97" w:rsidRPr="00C21B97">
      <w:rPr>
        <w:noProof/>
      </w:rPr>
      <w:drawing>
        <wp:anchor distT="0" distB="0" distL="114300" distR="114300" simplePos="0" relativeHeight="251684864" behindDoc="1" locked="1" layoutInCell="1" allowOverlap="1" wp14:anchorId="6EC232F6" wp14:editId="2B92107E">
          <wp:simplePos x="0" y="0"/>
          <wp:positionH relativeFrom="column">
            <wp:posOffset>172085</wp:posOffset>
          </wp:positionH>
          <wp:positionV relativeFrom="page">
            <wp:posOffset>8531225</wp:posOffset>
          </wp:positionV>
          <wp:extent cx="143510" cy="143510"/>
          <wp:effectExtent l="0" t="0" r="8890" b="8890"/>
          <wp:wrapNone/>
          <wp:docPr id="3"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390638" name="Grafik 9"/>
                  <pic:cNvPicPr/>
                </pic:nvPicPr>
                <pic:blipFill>
                  <a:blip r:embed="rId6">
                    <a:extLst>
                      <a:ext uri="{96DAC541-7B7A-43D3-8B79-37D633B846F1}">
                        <asvg:svgBlip xmlns:asvg="http://schemas.microsoft.com/office/drawing/2016/SVG/main" r:embed="rId7"/>
                      </a:ext>
                    </a:extLst>
                  </a:blip>
                  <a:stretch>
                    <a:fillRect/>
                  </a:stretch>
                </pic:blipFill>
                <pic:spPr>
                  <a:xfrm>
                    <a:off x="0" y="0"/>
                    <a:ext cx="143510" cy="143510"/>
                  </a:xfrm>
                  <a:prstGeom prst="rect">
                    <a:avLst/>
                  </a:prstGeom>
                </pic:spPr>
              </pic:pic>
            </a:graphicData>
          </a:graphic>
          <wp14:sizeRelH relativeFrom="margin">
            <wp14:pctWidth>0</wp14:pctWidth>
          </wp14:sizeRelH>
          <wp14:sizeRelV relativeFrom="margin">
            <wp14:pctHeight>0</wp14:pctHeight>
          </wp14:sizeRelV>
        </wp:anchor>
      </w:drawing>
    </w:r>
    <w:r w:rsidR="002C1677">
      <w:rPr>
        <w:noProof/>
      </w:rPr>
      <w:drawing>
        <wp:anchor distT="0" distB="0" distL="114300" distR="114300" simplePos="0" relativeHeight="251663360" behindDoc="1" locked="1" layoutInCell="1" allowOverlap="1" wp14:anchorId="6F20C41F" wp14:editId="26B3836D">
          <wp:simplePos x="0" y="0"/>
          <wp:positionH relativeFrom="page">
            <wp:posOffset>4572635</wp:posOffset>
          </wp:positionH>
          <wp:positionV relativeFrom="page">
            <wp:posOffset>10009505</wp:posOffset>
          </wp:positionV>
          <wp:extent cx="1317600" cy="295200"/>
          <wp:effectExtent l="0" t="0" r="0" b="0"/>
          <wp:wrapNone/>
          <wp:docPr id="990577859"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577859" name="Grafik 990577859"/>
                  <pic:cNvPicPr/>
                </pic:nvPicPr>
                <pic:blipFill>
                  <a:blip r:embed="rId8">
                    <a:extLst>
                      <a:ext uri="{96DAC541-7B7A-43D3-8B79-37D633B846F1}">
                        <asvg:svgBlip xmlns:asvg="http://schemas.microsoft.com/office/drawing/2016/SVG/main" r:embed="rId9"/>
                      </a:ext>
                    </a:extLst>
                  </a:blip>
                  <a:stretch>
                    <a:fillRect/>
                  </a:stretch>
                </pic:blipFill>
                <pic:spPr>
                  <a:xfrm>
                    <a:off x="0" y="0"/>
                    <a:ext cx="1317600" cy="295200"/>
                  </a:xfrm>
                  <a:prstGeom prst="rect">
                    <a:avLst/>
                  </a:prstGeom>
                </pic:spPr>
              </pic:pic>
            </a:graphicData>
          </a:graphic>
          <wp14:sizeRelH relativeFrom="margin">
            <wp14:pctWidth>0</wp14:pctWidth>
          </wp14:sizeRelH>
          <wp14:sizeRelV relativeFrom="margin">
            <wp14:pctHeight>0</wp14:pctHeight>
          </wp14:sizeRelV>
        </wp:anchor>
      </w:drawing>
    </w:r>
    <w:r w:rsidR="002C1677">
      <w:rPr>
        <w:noProof/>
      </w:rPr>
      <w:drawing>
        <wp:anchor distT="0" distB="0" distL="114300" distR="114300" simplePos="0" relativeHeight="251662336" behindDoc="1" locked="1" layoutInCell="1" allowOverlap="1" wp14:anchorId="3CF7B607" wp14:editId="4167EAD8">
          <wp:simplePos x="0" y="0"/>
          <wp:positionH relativeFrom="page">
            <wp:posOffset>6076950</wp:posOffset>
          </wp:positionH>
          <wp:positionV relativeFrom="page">
            <wp:posOffset>9663430</wp:posOffset>
          </wp:positionV>
          <wp:extent cx="1531620" cy="1052195"/>
          <wp:effectExtent l="0" t="0" r="0" b="0"/>
          <wp:wrapNone/>
          <wp:docPr id="2098216051"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8216051" name="Grafik 2098216051"/>
                  <pic:cNvPicPr/>
                </pic:nvPicPr>
                <pic:blipFill>
                  <a:blip r:embed="rId10">
                    <a:extLst>
                      <a:ext uri="{96DAC541-7B7A-43D3-8B79-37D633B846F1}">
                        <asvg:svgBlip xmlns:asvg="http://schemas.microsoft.com/office/drawing/2016/SVG/main" r:embed="rId11"/>
                      </a:ext>
                    </a:extLst>
                  </a:blip>
                  <a:stretch>
                    <a:fillRect/>
                  </a:stretch>
                </pic:blipFill>
                <pic:spPr>
                  <a:xfrm>
                    <a:off x="0" y="0"/>
                    <a:ext cx="1531620" cy="1052195"/>
                  </a:xfrm>
                  <a:prstGeom prst="rect">
                    <a:avLst/>
                  </a:prstGeom>
                </pic:spPr>
              </pic:pic>
            </a:graphicData>
          </a:graphic>
          <wp14:sizeRelH relativeFrom="margin">
            <wp14:pctWidth>0</wp14:pctWidth>
          </wp14:sizeRelH>
          <wp14:sizeRelV relativeFrom="margin">
            <wp14:pctHeight>0</wp14:pctHeight>
          </wp14:sizeRelV>
        </wp:anchor>
      </w:drawing>
    </w:r>
    <w:r w:rsidR="00914101">
      <w:rPr>
        <w:noProof/>
      </w:rPr>
      <w:drawing>
        <wp:anchor distT="0" distB="0" distL="114300" distR="114300" simplePos="0" relativeHeight="251661312" behindDoc="1" locked="1" layoutInCell="1" allowOverlap="1" wp14:anchorId="0A784625" wp14:editId="4327BD07">
          <wp:simplePos x="0" y="0"/>
          <wp:positionH relativeFrom="page">
            <wp:posOffset>360045</wp:posOffset>
          </wp:positionH>
          <wp:positionV relativeFrom="page">
            <wp:posOffset>10001885</wp:posOffset>
          </wp:positionV>
          <wp:extent cx="2005200" cy="396000"/>
          <wp:effectExtent l="0" t="0" r="0" b="4445"/>
          <wp:wrapNone/>
          <wp:docPr id="207275325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753251" name="Grafik 2072753251"/>
                  <pic:cNvPicPr/>
                </pic:nvPicPr>
                <pic:blipFill>
                  <a:blip r:embed="rId12">
                    <a:extLst>
                      <a:ext uri="{96DAC541-7B7A-43D3-8B79-37D633B846F1}">
                        <asvg:svgBlip xmlns:asvg="http://schemas.microsoft.com/office/drawing/2016/SVG/main" r:embed="rId13"/>
                      </a:ext>
                    </a:extLst>
                  </a:blip>
                  <a:stretch>
                    <a:fillRect/>
                  </a:stretch>
                </pic:blipFill>
                <pic:spPr>
                  <a:xfrm>
                    <a:off x="0" y="0"/>
                    <a:ext cx="2005200" cy="396000"/>
                  </a:xfrm>
                  <a:prstGeom prst="rect">
                    <a:avLst/>
                  </a:prstGeom>
                </pic:spPr>
              </pic:pic>
            </a:graphicData>
          </a:graphic>
          <wp14:sizeRelH relativeFrom="margin">
            <wp14:pctWidth>0</wp14:pctWidth>
          </wp14:sizeRelH>
          <wp14:sizeRelV relativeFrom="margin">
            <wp14:pctHeight>0</wp14:pctHeight>
          </wp14:sizeRelV>
        </wp:anchor>
      </w:drawing>
    </w:r>
    <w:bookmarkEnd w:id="1"/>
    <w:bookmarkEnd w:id="2"/>
    <w:r w:rsidR="00503CD4">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04D69" w14:textId="252187DE" w:rsidR="00F83792" w:rsidRDefault="00226698" w:rsidP="00226698">
    <w:pPr>
      <w:pStyle w:val="Fuzeile"/>
      <w:tabs>
        <w:tab w:val="clear" w:pos="4536"/>
        <w:tab w:val="clear" w:pos="9072"/>
        <w:tab w:val="left" w:pos="3823"/>
      </w:tabs>
    </w:pPr>
    <w:r w:rsidRPr="00226698">
      <w:rPr>
        <w:noProof/>
      </w:rPr>
      <w:drawing>
        <wp:anchor distT="0" distB="0" distL="114300" distR="114300" simplePos="0" relativeHeight="251694080" behindDoc="0" locked="0" layoutInCell="1" allowOverlap="1" wp14:anchorId="4FCFEFDD" wp14:editId="42BBD2B4">
          <wp:simplePos x="0" y="0"/>
          <wp:positionH relativeFrom="column">
            <wp:posOffset>1654175</wp:posOffset>
          </wp:positionH>
          <wp:positionV relativeFrom="paragraph">
            <wp:posOffset>-138430</wp:posOffset>
          </wp:positionV>
          <wp:extent cx="901700" cy="405765"/>
          <wp:effectExtent l="0" t="0" r="0" b="0"/>
          <wp:wrapSquare wrapText="bothSides"/>
          <wp:docPr id="26" name="Grafik 26" descr="Pädagogische Hochschule Ludwigsburg – Wikip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ädagogische Hochschule Ludwigsburg – Wikipe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1700" cy="4057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26698">
      <w:rPr>
        <w:noProof/>
      </w:rPr>
      <w:drawing>
        <wp:anchor distT="0" distB="0" distL="114300" distR="114300" simplePos="0" relativeHeight="251693056" behindDoc="0" locked="0" layoutInCell="1" allowOverlap="1" wp14:anchorId="3F0BD53B" wp14:editId="6045BB94">
          <wp:simplePos x="0" y="0"/>
          <wp:positionH relativeFrom="column">
            <wp:posOffset>2705554</wp:posOffset>
          </wp:positionH>
          <wp:positionV relativeFrom="paragraph">
            <wp:posOffset>-136979</wp:posOffset>
          </wp:positionV>
          <wp:extent cx="756285" cy="377825"/>
          <wp:effectExtent l="0" t="0" r="5715" b="3175"/>
          <wp:wrapSquare wrapText="bothSides"/>
          <wp:docPr id="25" name="Grafik 25" descr="Datei:Logo KIT.svg – Wikip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tei:Logo KIT.svg – Wikipedi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6285" cy="377825"/>
                  </a:xfrm>
                  <a:prstGeom prst="rect">
                    <a:avLst/>
                  </a:prstGeom>
                  <a:noFill/>
                  <a:ln>
                    <a:noFill/>
                  </a:ln>
                </pic:spPr>
              </pic:pic>
            </a:graphicData>
          </a:graphic>
        </wp:anchor>
      </w:drawing>
    </w:r>
    <w:r w:rsidR="00F83792">
      <w:rPr>
        <w:noProof/>
      </w:rPr>
      <w:drawing>
        <wp:anchor distT="0" distB="0" distL="114300" distR="114300" simplePos="0" relativeHeight="251688960" behindDoc="1" locked="1" layoutInCell="1" allowOverlap="1" wp14:anchorId="72E02434" wp14:editId="2283E222">
          <wp:simplePos x="0" y="0"/>
          <wp:positionH relativeFrom="page">
            <wp:posOffset>4572635</wp:posOffset>
          </wp:positionH>
          <wp:positionV relativeFrom="page">
            <wp:posOffset>10009505</wp:posOffset>
          </wp:positionV>
          <wp:extent cx="1317600" cy="295200"/>
          <wp:effectExtent l="0" t="0" r="0" b="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577859" name="Grafik 990577859"/>
                  <pic:cNvPicPr/>
                </pic:nvPicPr>
                <pic:blipFill>
                  <a:blip r:embed="rId3">
                    <a:extLst>
                      <a:ext uri="{96DAC541-7B7A-43D3-8B79-37D633B846F1}">
                        <asvg:svgBlip xmlns:asvg="http://schemas.microsoft.com/office/drawing/2016/SVG/main" r:embed="rId4"/>
                      </a:ext>
                    </a:extLst>
                  </a:blip>
                  <a:stretch>
                    <a:fillRect/>
                  </a:stretch>
                </pic:blipFill>
                <pic:spPr>
                  <a:xfrm>
                    <a:off x="0" y="0"/>
                    <a:ext cx="1317600" cy="295200"/>
                  </a:xfrm>
                  <a:prstGeom prst="rect">
                    <a:avLst/>
                  </a:prstGeom>
                </pic:spPr>
              </pic:pic>
            </a:graphicData>
          </a:graphic>
          <wp14:sizeRelH relativeFrom="margin">
            <wp14:pctWidth>0</wp14:pctWidth>
          </wp14:sizeRelH>
          <wp14:sizeRelV relativeFrom="margin">
            <wp14:pctHeight>0</wp14:pctHeight>
          </wp14:sizeRelV>
        </wp:anchor>
      </w:drawing>
    </w:r>
    <w:r w:rsidR="00F83792">
      <w:rPr>
        <w:noProof/>
      </w:rPr>
      <w:drawing>
        <wp:anchor distT="0" distB="0" distL="114300" distR="114300" simplePos="0" relativeHeight="251687936" behindDoc="1" locked="1" layoutInCell="1" allowOverlap="1" wp14:anchorId="1044EDFC" wp14:editId="3886E6E1">
          <wp:simplePos x="0" y="0"/>
          <wp:positionH relativeFrom="page">
            <wp:posOffset>6076950</wp:posOffset>
          </wp:positionH>
          <wp:positionV relativeFrom="page">
            <wp:posOffset>9663430</wp:posOffset>
          </wp:positionV>
          <wp:extent cx="1531620" cy="1052195"/>
          <wp:effectExtent l="0" t="0" r="0" b="0"/>
          <wp:wrapNone/>
          <wp:docPr id="22"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8216051" name="Grafik 2098216051"/>
                  <pic:cNvPicPr/>
                </pic:nvPicPr>
                <pic:blipFill>
                  <a:blip r:embed="rId5">
                    <a:extLst>
                      <a:ext uri="{96DAC541-7B7A-43D3-8B79-37D633B846F1}">
                        <asvg:svgBlip xmlns:asvg="http://schemas.microsoft.com/office/drawing/2016/SVG/main" r:embed="rId6"/>
                      </a:ext>
                    </a:extLst>
                  </a:blip>
                  <a:stretch>
                    <a:fillRect/>
                  </a:stretch>
                </pic:blipFill>
                <pic:spPr>
                  <a:xfrm>
                    <a:off x="0" y="0"/>
                    <a:ext cx="1531620" cy="1052195"/>
                  </a:xfrm>
                  <a:prstGeom prst="rect">
                    <a:avLst/>
                  </a:prstGeom>
                </pic:spPr>
              </pic:pic>
            </a:graphicData>
          </a:graphic>
          <wp14:sizeRelH relativeFrom="margin">
            <wp14:pctWidth>0</wp14:pctWidth>
          </wp14:sizeRelH>
          <wp14:sizeRelV relativeFrom="margin">
            <wp14:pctHeight>0</wp14:pctHeight>
          </wp14:sizeRelV>
        </wp:anchor>
      </w:drawing>
    </w:r>
    <w:r w:rsidR="00F83792">
      <w:rPr>
        <w:noProof/>
      </w:rPr>
      <w:drawing>
        <wp:anchor distT="0" distB="0" distL="114300" distR="114300" simplePos="0" relativeHeight="251686912" behindDoc="1" locked="1" layoutInCell="1" allowOverlap="1" wp14:anchorId="79968025" wp14:editId="2A5405E1">
          <wp:simplePos x="0" y="0"/>
          <wp:positionH relativeFrom="page">
            <wp:posOffset>360045</wp:posOffset>
          </wp:positionH>
          <wp:positionV relativeFrom="page">
            <wp:posOffset>10001885</wp:posOffset>
          </wp:positionV>
          <wp:extent cx="2005200" cy="396000"/>
          <wp:effectExtent l="0" t="0" r="0" b="4445"/>
          <wp:wrapNone/>
          <wp:docPr id="23"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753251" name="Grafik 2072753251"/>
                  <pic:cNvPicPr/>
                </pic:nvPicPr>
                <pic:blipFill>
                  <a:blip r:embed="rId7">
                    <a:extLst>
                      <a:ext uri="{96DAC541-7B7A-43D3-8B79-37D633B846F1}">
                        <asvg:svgBlip xmlns:asvg="http://schemas.microsoft.com/office/drawing/2016/SVG/main" r:embed="rId8"/>
                      </a:ext>
                    </a:extLst>
                  </a:blip>
                  <a:stretch>
                    <a:fillRect/>
                  </a:stretch>
                </pic:blipFill>
                <pic:spPr>
                  <a:xfrm>
                    <a:off x="0" y="0"/>
                    <a:ext cx="2005200" cy="396000"/>
                  </a:xfrm>
                  <a:prstGeom prst="rect">
                    <a:avLst/>
                  </a:prstGeom>
                </pic:spPr>
              </pic:pic>
            </a:graphicData>
          </a:graphic>
          <wp14:sizeRelH relativeFrom="margin">
            <wp14:pctWidth>0</wp14:pctWidth>
          </wp14:sizeRelH>
          <wp14:sizeRelV relativeFrom="margin">
            <wp14:pctHeight>0</wp14:pctHeight>
          </wp14:sizeRelV>
        </wp:anchor>
      </w:drawing>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267CA" w14:textId="43D25CB8" w:rsidR="005947A8" w:rsidRDefault="005947A8" w:rsidP="005F745D">
    <w:pPr>
      <w:framePr w:w="9072" w:h="981" w:hRule="exact" w:hSpace="142" w:wrap="around" w:vAnchor="page" w:hAnchor="page" w:x="1419" w:y="13671" w:anchorLock="1"/>
      <w:spacing w:line="240" w:lineRule="exact"/>
      <w:rPr>
        <w:noProof/>
      </w:rPr>
    </w:pPr>
    <w:r w:rsidRPr="00343ED5">
      <w:rPr>
        <w:noProof/>
      </w:rPr>
      <w:t xml:space="preserve">Dieses Produkt ist unter der Lizenz </w:t>
    </w:r>
    <w:hyperlink r:id="rId1" w:history="1">
      <w:r w:rsidRPr="00C76542">
        <w:rPr>
          <w:rStyle w:val="Formatvorlage1"/>
        </w:rPr>
        <w:t>CC BY 4.0</w:t>
      </w:r>
    </w:hyperlink>
    <w:r w:rsidRPr="00343ED5">
      <w:rPr>
        <w:noProof/>
      </w:rPr>
      <w:t xml:space="preserve"> veröffentlicht. </w:t>
    </w:r>
    <w:r w:rsidRPr="00806ABD">
      <w:rPr>
        <w:noProof/>
      </w:rPr>
      <w:t>Von der Lizenz ausgenommen sind Logos, Zitate sowie anders gekennzeichnete Materialien und Abbildungen.</w:t>
    </w:r>
    <w:r w:rsidRPr="00343ED5">
      <w:rPr>
        <w:noProof/>
      </w:rPr>
      <w:t xml:space="preserve"> Die Urheber:innen sollen bei der Weiterverwendung wie folgt angegeben werden</w:t>
    </w:r>
    <w:r>
      <w:rPr>
        <w:noProof/>
      </w:rPr>
      <w:t>:</w:t>
    </w:r>
    <w:r w:rsidRPr="00343ED5">
      <w:rPr>
        <w:noProof/>
      </w:rPr>
      <w:t xml:space="preserve"> </w:t>
    </w:r>
    <w:r>
      <w:rPr>
        <w:noProof/>
      </w:rPr>
      <w:t xml:space="preserve">Greiner, J. &amp; Wagner, I., </w:t>
    </w:r>
    <w:r w:rsidRPr="00C07AAC">
      <w:rPr>
        <w:noProof/>
      </w:rPr>
      <w:t>Kompetenzverbund lernen:digital</w:t>
    </w:r>
    <w:r>
      <w:rPr>
        <w:noProof/>
      </w:rPr>
      <w:t>,</w:t>
    </w:r>
    <w:r w:rsidRPr="00343ED5">
      <w:rPr>
        <w:noProof/>
      </w:rPr>
      <w:t xml:space="preserve"> entstanden im Projektverbund </w:t>
    </w:r>
    <w:r>
      <w:rPr>
        <w:noProof/>
      </w:rPr>
      <w:t>KuMuS-ProNeD.</w:t>
    </w:r>
  </w:p>
  <w:p w14:paraId="11548FEB" w14:textId="63044065" w:rsidR="005947A8" w:rsidRDefault="00226698" w:rsidP="00226698">
    <w:pPr>
      <w:pStyle w:val="Fuzeile"/>
      <w:tabs>
        <w:tab w:val="clear" w:pos="4536"/>
        <w:tab w:val="clear" w:pos="9072"/>
        <w:tab w:val="center" w:pos="4535"/>
      </w:tabs>
    </w:pPr>
    <w:r w:rsidRPr="00226698">
      <w:rPr>
        <w:noProof/>
      </w:rPr>
      <w:drawing>
        <wp:anchor distT="0" distB="0" distL="114300" distR="114300" simplePos="0" relativeHeight="251696128" behindDoc="0" locked="0" layoutInCell="1" allowOverlap="1" wp14:anchorId="1E634272" wp14:editId="5B5B362B">
          <wp:simplePos x="0" y="0"/>
          <wp:positionH relativeFrom="column">
            <wp:posOffset>2705100</wp:posOffset>
          </wp:positionH>
          <wp:positionV relativeFrom="paragraph">
            <wp:posOffset>-129540</wp:posOffset>
          </wp:positionV>
          <wp:extent cx="756285" cy="377825"/>
          <wp:effectExtent l="0" t="0" r="5715" b="3175"/>
          <wp:wrapSquare wrapText="bothSides"/>
          <wp:docPr id="27" name="Grafik 27" descr="Datei:Logo KIT.svg – Wikip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tei:Logo KIT.svg – Wikipedi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6285" cy="377825"/>
                  </a:xfrm>
                  <a:prstGeom prst="rect">
                    <a:avLst/>
                  </a:prstGeom>
                  <a:noFill/>
                  <a:ln>
                    <a:noFill/>
                  </a:ln>
                </pic:spPr>
              </pic:pic>
            </a:graphicData>
          </a:graphic>
        </wp:anchor>
      </w:drawing>
    </w:r>
    <w:r w:rsidRPr="00226698">
      <w:rPr>
        <w:noProof/>
      </w:rPr>
      <w:drawing>
        <wp:anchor distT="0" distB="0" distL="114300" distR="114300" simplePos="0" relativeHeight="251697152" behindDoc="0" locked="0" layoutInCell="1" allowOverlap="1" wp14:anchorId="4239D7EC" wp14:editId="5FD07667">
          <wp:simplePos x="0" y="0"/>
          <wp:positionH relativeFrom="column">
            <wp:posOffset>1654629</wp:posOffset>
          </wp:positionH>
          <wp:positionV relativeFrom="paragraph">
            <wp:posOffset>-130357</wp:posOffset>
          </wp:positionV>
          <wp:extent cx="901700" cy="405765"/>
          <wp:effectExtent l="0" t="0" r="0" b="0"/>
          <wp:wrapSquare wrapText="bothSides"/>
          <wp:docPr id="28" name="Grafik 28" descr="Pädagogische Hochschule Ludwigsburg – Wikip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ädagogische Hochschule Ludwigsburg – Wikipedi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01700" cy="4057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947A8">
      <w:rPr>
        <w:noProof/>
      </w:rPr>
      <w:drawing>
        <wp:anchor distT="0" distB="0" distL="114300" distR="114300" simplePos="0" relativeHeight="251680768" behindDoc="1" locked="1" layoutInCell="1" allowOverlap="1" wp14:anchorId="7421F48C" wp14:editId="7977F6E3">
          <wp:simplePos x="0" y="0"/>
          <wp:positionH relativeFrom="column">
            <wp:posOffset>176530</wp:posOffset>
          </wp:positionH>
          <wp:positionV relativeFrom="page">
            <wp:posOffset>8455025</wp:posOffset>
          </wp:positionV>
          <wp:extent cx="143510" cy="143510"/>
          <wp:effectExtent l="0" t="0" r="8890" b="8890"/>
          <wp:wrapNone/>
          <wp:docPr id="12"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390638" name="Grafik 9"/>
                  <pic:cNvPicPr/>
                </pic:nvPicPr>
                <pic:blipFill>
                  <a:blip r:embed="rId4">
                    <a:extLst>
                      <a:ext uri="{96DAC541-7B7A-43D3-8B79-37D633B846F1}">
                        <asvg:svgBlip xmlns:asvg="http://schemas.microsoft.com/office/drawing/2016/SVG/main" r:embed="rId5"/>
                      </a:ext>
                    </a:extLst>
                  </a:blip>
                  <a:stretch>
                    <a:fillRect/>
                  </a:stretch>
                </pic:blipFill>
                <pic:spPr>
                  <a:xfrm>
                    <a:off x="0" y="0"/>
                    <a:ext cx="143510" cy="143510"/>
                  </a:xfrm>
                  <a:prstGeom prst="rect">
                    <a:avLst/>
                  </a:prstGeom>
                </pic:spPr>
              </pic:pic>
            </a:graphicData>
          </a:graphic>
          <wp14:sizeRelH relativeFrom="margin">
            <wp14:pctWidth>0</wp14:pctWidth>
          </wp14:sizeRelH>
          <wp14:sizeRelV relativeFrom="margin">
            <wp14:pctHeight>0</wp14:pctHeight>
          </wp14:sizeRelV>
        </wp:anchor>
      </w:drawing>
    </w:r>
    <w:r w:rsidR="005947A8">
      <w:rPr>
        <w:noProof/>
      </w:rPr>
      <w:drawing>
        <wp:anchor distT="0" distB="0" distL="114300" distR="114300" simplePos="0" relativeHeight="251679744" behindDoc="1" locked="1" layoutInCell="1" allowOverlap="1" wp14:anchorId="4C734633" wp14:editId="0A4764B2">
          <wp:simplePos x="0" y="0"/>
          <wp:positionH relativeFrom="column">
            <wp:posOffset>0</wp:posOffset>
          </wp:positionH>
          <wp:positionV relativeFrom="page">
            <wp:posOffset>8455025</wp:posOffset>
          </wp:positionV>
          <wp:extent cx="143510" cy="143510"/>
          <wp:effectExtent l="0" t="0" r="8890" b="8890"/>
          <wp:wrapNone/>
          <wp:docPr id="13"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252600" name="Grafik 559252600"/>
                  <pic:cNvPicPr/>
                </pic:nvPicPr>
                <pic:blipFill>
                  <a:blip r:embed="rId6">
                    <a:extLst>
                      <a:ext uri="{96DAC541-7B7A-43D3-8B79-37D633B846F1}">
                        <asvg:svgBlip xmlns:asvg="http://schemas.microsoft.com/office/drawing/2016/SVG/main" r:embed="rId7"/>
                      </a:ext>
                    </a:extLst>
                  </a:blip>
                  <a:stretch>
                    <a:fillRect/>
                  </a:stretch>
                </pic:blipFill>
                <pic:spPr>
                  <a:xfrm>
                    <a:off x="0" y="0"/>
                    <a:ext cx="143510" cy="143510"/>
                  </a:xfrm>
                  <a:prstGeom prst="rect">
                    <a:avLst/>
                  </a:prstGeom>
                </pic:spPr>
              </pic:pic>
            </a:graphicData>
          </a:graphic>
          <wp14:sizeRelH relativeFrom="margin">
            <wp14:pctWidth>0</wp14:pctWidth>
          </wp14:sizeRelH>
          <wp14:sizeRelV relativeFrom="margin">
            <wp14:pctHeight>0</wp14:pctHeight>
          </wp14:sizeRelV>
        </wp:anchor>
      </w:drawing>
    </w:r>
    <w:r w:rsidR="005947A8">
      <w:rPr>
        <w:noProof/>
      </w:rPr>
      <mc:AlternateContent>
        <mc:Choice Requires="wps">
          <w:drawing>
            <wp:anchor distT="0" distB="0" distL="114300" distR="114300" simplePos="0" relativeHeight="251678720" behindDoc="1" locked="1" layoutInCell="1" allowOverlap="1" wp14:anchorId="56820E8E" wp14:editId="6FEEA873">
              <wp:simplePos x="0" y="0"/>
              <wp:positionH relativeFrom="column">
                <wp:posOffset>-900430</wp:posOffset>
              </wp:positionH>
              <wp:positionV relativeFrom="page">
                <wp:posOffset>8335645</wp:posOffset>
              </wp:positionV>
              <wp:extent cx="7559675" cy="1097915"/>
              <wp:effectExtent l="0" t="0" r="3175" b="6985"/>
              <wp:wrapNone/>
              <wp:docPr id="11" name="Rechteck 8"/>
              <wp:cNvGraphicFramePr/>
              <a:graphic xmlns:a="http://schemas.openxmlformats.org/drawingml/2006/main">
                <a:graphicData uri="http://schemas.microsoft.com/office/word/2010/wordprocessingShape">
                  <wps:wsp>
                    <wps:cNvSpPr/>
                    <wps:spPr>
                      <a:xfrm>
                        <a:off x="0" y="0"/>
                        <a:ext cx="7559675" cy="1097915"/>
                      </a:xfrm>
                      <a:prstGeom prst="rect">
                        <a:avLst/>
                      </a:prstGeom>
                      <a:solidFill>
                        <a:schemeClr val="accent5"/>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A993BC" id="Rechteck 8" o:spid="_x0000_s1026" style="position:absolute;margin-left:-70.9pt;margin-top:656.35pt;width:595.25pt;height:86.4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" fillcolor="#b4e0e8 [3208]" stroked="f" strokeweight="1pt">
              <w10:wrap anchory="page"/>
              <w10:anchorlock/>
            </v:rect>
          </w:pict>
        </mc:Fallback>
      </mc:AlternateContent>
    </w:r>
    <w:r w:rsidR="005947A8">
      <w:rPr>
        <w:noProof/>
      </w:rPr>
      <w:drawing>
        <wp:anchor distT="0" distB="0" distL="114300" distR="114300" simplePos="0" relativeHeight="251677696" behindDoc="1" locked="1" layoutInCell="1" allowOverlap="1" wp14:anchorId="6952287A" wp14:editId="31C12EED">
          <wp:simplePos x="0" y="0"/>
          <wp:positionH relativeFrom="page">
            <wp:posOffset>4572635</wp:posOffset>
          </wp:positionH>
          <wp:positionV relativeFrom="page">
            <wp:posOffset>10009505</wp:posOffset>
          </wp:positionV>
          <wp:extent cx="1317600" cy="295200"/>
          <wp:effectExtent l="0" t="0" r="0" b="0"/>
          <wp:wrapNone/>
          <wp:docPr id="14"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577859" name="Grafik 990577859"/>
                  <pic:cNvPicPr/>
                </pic:nvPicPr>
                <pic:blipFill>
                  <a:blip r:embed="rId8">
                    <a:extLst>
                      <a:ext uri="{96DAC541-7B7A-43D3-8B79-37D633B846F1}">
                        <asvg:svgBlip xmlns:asvg="http://schemas.microsoft.com/office/drawing/2016/SVG/main" r:embed="rId9"/>
                      </a:ext>
                    </a:extLst>
                  </a:blip>
                  <a:stretch>
                    <a:fillRect/>
                  </a:stretch>
                </pic:blipFill>
                <pic:spPr>
                  <a:xfrm>
                    <a:off x="0" y="0"/>
                    <a:ext cx="1317600" cy="295200"/>
                  </a:xfrm>
                  <a:prstGeom prst="rect">
                    <a:avLst/>
                  </a:prstGeom>
                </pic:spPr>
              </pic:pic>
            </a:graphicData>
          </a:graphic>
          <wp14:sizeRelH relativeFrom="margin">
            <wp14:pctWidth>0</wp14:pctWidth>
          </wp14:sizeRelH>
          <wp14:sizeRelV relativeFrom="margin">
            <wp14:pctHeight>0</wp14:pctHeight>
          </wp14:sizeRelV>
        </wp:anchor>
      </w:drawing>
    </w:r>
    <w:r w:rsidR="005947A8">
      <w:rPr>
        <w:noProof/>
      </w:rPr>
      <w:drawing>
        <wp:anchor distT="0" distB="0" distL="114300" distR="114300" simplePos="0" relativeHeight="251676672" behindDoc="1" locked="1" layoutInCell="1" allowOverlap="1" wp14:anchorId="464C6EFF" wp14:editId="5B320A58">
          <wp:simplePos x="0" y="0"/>
          <wp:positionH relativeFrom="page">
            <wp:posOffset>6076950</wp:posOffset>
          </wp:positionH>
          <wp:positionV relativeFrom="page">
            <wp:posOffset>9663430</wp:posOffset>
          </wp:positionV>
          <wp:extent cx="1531620" cy="1052195"/>
          <wp:effectExtent l="0" t="0" r="0" b="0"/>
          <wp:wrapNone/>
          <wp:docPr id="15"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8216051" name="Grafik 2098216051"/>
                  <pic:cNvPicPr/>
                </pic:nvPicPr>
                <pic:blipFill>
                  <a:blip r:embed="rId10">
                    <a:extLst>
                      <a:ext uri="{96DAC541-7B7A-43D3-8B79-37D633B846F1}">
                        <asvg:svgBlip xmlns:asvg="http://schemas.microsoft.com/office/drawing/2016/SVG/main" r:embed="rId11"/>
                      </a:ext>
                    </a:extLst>
                  </a:blip>
                  <a:stretch>
                    <a:fillRect/>
                  </a:stretch>
                </pic:blipFill>
                <pic:spPr>
                  <a:xfrm>
                    <a:off x="0" y="0"/>
                    <a:ext cx="1531620" cy="1052195"/>
                  </a:xfrm>
                  <a:prstGeom prst="rect">
                    <a:avLst/>
                  </a:prstGeom>
                </pic:spPr>
              </pic:pic>
            </a:graphicData>
          </a:graphic>
          <wp14:sizeRelH relativeFrom="margin">
            <wp14:pctWidth>0</wp14:pctWidth>
          </wp14:sizeRelH>
          <wp14:sizeRelV relativeFrom="margin">
            <wp14:pctHeight>0</wp14:pctHeight>
          </wp14:sizeRelV>
        </wp:anchor>
      </w:drawing>
    </w:r>
    <w:r w:rsidR="005947A8">
      <w:rPr>
        <w:noProof/>
      </w:rPr>
      <w:drawing>
        <wp:anchor distT="0" distB="0" distL="114300" distR="114300" simplePos="0" relativeHeight="251675648" behindDoc="1" locked="1" layoutInCell="1" allowOverlap="1" wp14:anchorId="427DC568" wp14:editId="29C3C06A">
          <wp:simplePos x="0" y="0"/>
          <wp:positionH relativeFrom="page">
            <wp:posOffset>360045</wp:posOffset>
          </wp:positionH>
          <wp:positionV relativeFrom="page">
            <wp:posOffset>10001885</wp:posOffset>
          </wp:positionV>
          <wp:extent cx="2005200" cy="396000"/>
          <wp:effectExtent l="0" t="0" r="0" b="4445"/>
          <wp:wrapNone/>
          <wp:docPr id="16"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753251" name="Grafik 2072753251"/>
                  <pic:cNvPicPr/>
                </pic:nvPicPr>
                <pic:blipFill>
                  <a:blip r:embed="rId12">
                    <a:extLst>
                      <a:ext uri="{96DAC541-7B7A-43D3-8B79-37D633B846F1}">
                        <asvg:svgBlip xmlns:asvg="http://schemas.microsoft.com/office/drawing/2016/SVG/main" r:embed="rId13"/>
                      </a:ext>
                    </a:extLst>
                  </a:blip>
                  <a:stretch>
                    <a:fillRect/>
                  </a:stretch>
                </pic:blipFill>
                <pic:spPr>
                  <a:xfrm>
                    <a:off x="0" y="0"/>
                    <a:ext cx="2005200" cy="396000"/>
                  </a:xfrm>
                  <a:prstGeom prst="rect">
                    <a:avLst/>
                  </a:prstGeom>
                </pic:spPr>
              </pic:pic>
            </a:graphicData>
          </a:graphic>
          <wp14:sizeRelH relativeFrom="margin">
            <wp14:pctWidth>0</wp14:pctWidth>
          </wp14:sizeRelH>
          <wp14:sizeRelV relativeFrom="margin">
            <wp14:pctHeight>0</wp14:pctHeight>
          </wp14:sizeRelV>
        </wp:anchor>
      </w:drawing>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A34A7" w14:textId="77777777" w:rsidR="00E14E66" w:rsidRDefault="00E14E66" w:rsidP="00BB7706">
      <w:pPr>
        <w:spacing w:line="240" w:lineRule="auto"/>
      </w:pPr>
      <w:r>
        <w:separator/>
      </w:r>
    </w:p>
  </w:footnote>
  <w:footnote w:type="continuationSeparator" w:id="0">
    <w:p w14:paraId="02846D74" w14:textId="77777777" w:rsidR="00E14E66" w:rsidRDefault="00E14E66" w:rsidP="00BB770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12E61" w14:textId="17D9121F" w:rsidR="00EE4B26" w:rsidRDefault="00914101">
    <w:pPr>
      <w:pStyle w:val="Kopfzeile"/>
    </w:pPr>
    <w:r>
      <w:rPr>
        <w:noProof/>
      </w:rPr>
      <w:drawing>
        <wp:anchor distT="0" distB="0" distL="114300" distR="114300" simplePos="0" relativeHeight="251660288" behindDoc="0" locked="1" layoutInCell="1" allowOverlap="1" wp14:anchorId="2F676EAC" wp14:editId="2E0D7B5A">
          <wp:simplePos x="0" y="0"/>
          <wp:positionH relativeFrom="page">
            <wp:posOffset>900430</wp:posOffset>
          </wp:positionH>
          <wp:positionV relativeFrom="page">
            <wp:posOffset>824230</wp:posOffset>
          </wp:positionV>
          <wp:extent cx="2253600" cy="547200"/>
          <wp:effectExtent l="0" t="0" r="0" b="5715"/>
          <wp:wrapTopAndBottom/>
          <wp:docPr id="1597792289"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792289" name="Grafik 3"/>
                  <pic:cNvPicPr/>
                </pic:nvPicPr>
                <pic:blipFill>
                  <a:blip r:embed="rId1">
                    <a:extLst>
                      <a:ext uri="{96DAC541-7B7A-43D3-8B79-37D633B846F1}">
                        <asvg:svgBlip xmlns:asvg="http://schemas.microsoft.com/office/drawing/2016/SVG/main" r:embed="rId2"/>
                      </a:ext>
                    </a:extLst>
                  </a:blip>
                  <a:stretch>
                    <a:fillRect/>
                  </a:stretch>
                </pic:blipFill>
                <pic:spPr>
                  <a:xfrm>
                    <a:off x="0" y="0"/>
                    <a:ext cx="2253600" cy="5472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1" layoutInCell="1" allowOverlap="1" wp14:anchorId="5641EE61" wp14:editId="3A62F267">
          <wp:simplePos x="0" y="0"/>
          <wp:positionH relativeFrom="page">
            <wp:align>left</wp:align>
          </wp:positionH>
          <wp:positionV relativeFrom="page">
            <wp:align>top</wp:align>
          </wp:positionV>
          <wp:extent cx="7559675" cy="1601470"/>
          <wp:effectExtent l="0" t="0" r="3175" b="0"/>
          <wp:wrapTopAndBottom/>
          <wp:docPr id="135831316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313165" name="Grafik 2"/>
                  <pic:cNvPicPr/>
                </pic:nvPicPr>
                <pic:blipFill>
                  <a:blip r:embed="rId3">
                    <a:extLst>
                      <a:ext uri="{96DAC541-7B7A-43D3-8B79-37D633B846F1}">
                        <asvg:svgBlip xmlns:asvg="http://schemas.microsoft.com/office/drawing/2016/SVG/main" r:embed="rId4"/>
                      </a:ext>
                    </a:extLst>
                  </a:blip>
                  <a:srcRect t="361" b="361"/>
                  <a:stretch>
                    <a:fillRect/>
                  </a:stretch>
                </pic:blipFill>
                <pic:spPr bwMode="auto">
                  <a:xfrm>
                    <a:off x="0" y="0"/>
                    <a:ext cx="7560000" cy="1602000"/>
                  </a:xfrm>
                  <a:prstGeom prst="rect">
                    <a:avLst/>
                  </a:prstGeom>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09410" w14:textId="778D559B" w:rsidR="00EE4B26" w:rsidRDefault="00EE4B2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EDD41" w14:textId="77777777" w:rsidR="005947A8" w:rsidRDefault="005947A8">
    <w:pPr>
      <w:pStyle w:val="Kopfzeile"/>
    </w:pPr>
    <w:r>
      <w:rPr>
        <w:noProof/>
      </w:rPr>
      <w:drawing>
        <wp:anchor distT="0" distB="0" distL="114300" distR="114300" simplePos="0" relativeHeight="251673600" behindDoc="0" locked="1" layoutInCell="1" allowOverlap="1" wp14:anchorId="070AE9E6" wp14:editId="48BBC384">
          <wp:simplePos x="0" y="0"/>
          <wp:positionH relativeFrom="page">
            <wp:posOffset>900430</wp:posOffset>
          </wp:positionH>
          <wp:positionV relativeFrom="page">
            <wp:posOffset>824230</wp:posOffset>
          </wp:positionV>
          <wp:extent cx="2253600" cy="547200"/>
          <wp:effectExtent l="0" t="0" r="0" b="5715"/>
          <wp:wrapTopAndBottom/>
          <wp:docPr id="9"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792289" name="Grafik 3"/>
                  <pic:cNvPicPr/>
                </pic:nvPicPr>
                <pic:blipFill>
                  <a:blip r:embed="rId1">
                    <a:extLst>
                      <a:ext uri="{96DAC541-7B7A-43D3-8B79-37D633B846F1}">
                        <asvg:svgBlip xmlns:asvg="http://schemas.microsoft.com/office/drawing/2016/SVG/main" r:embed="rId2"/>
                      </a:ext>
                    </a:extLst>
                  </a:blip>
                  <a:stretch>
                    <a:fillRect/>
                  </a:stretch>
                </pic:blipFill>
                <pic:spPr>
                  <a:xfrm>
                    <a:off x="0" y="0"/>
                    <a:ext cx="2253600" cy="5472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2576" behindDoc="0" locked="1" layoutInCell="1" allowOverlap="1" wp14:anchorId="66488A2C" wp14:editId="07E9B76B">
          <wp:simplePos x="0" y="0"/>
          <wp:positionH relativeFrom="page">
            <wp:align>left</wp:align>
          </wp:positionH>
          <wp:positionV relativeFrom="page">
            <wp:align>top</wp:align>
          </wp:positionV>
          <wp:extent cx="7559675" cy="1601470"/>
          <wp:effectExtent l="0" t="0" r="3175" b="0"/>
          <wp:wrapTopAndBottom/>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313165" name="Grafik 2"/>
                  <pic:cNvPicPr/>
                </pic:nvPicPr>
                <pic:blipFill>
                  <a:blip r:embed="rId3">
                    <a:extLst>
                      <a:ext uri="{96DAC541-7B7A-43D3-8B79-37D633B846F1}">
                        <asvg:svgBlip xmlns:asvg="http://schemas.microsoft.com/office/drawing/2016/SVG/main" r:embed="rId4"/>
                      </a:ext>
                    </a:extLst>
                  </a:blip>
                  <a:srcRect t="361" b="361"/>
                  <a:stretch>
                    <a:fillRect/>
                  </a:stretch>
                </pic:blipFill>
                <pic:spPr bwMode="auto">
                  <a:xfrm>
                    <a:off x="0" y="0"/>
                    <a:ext cx="7560000" cy="1602000"/>
                  </a:xfrm>
                  <a:prstGeom prst="rect">
                    <a:avLst/>
                  </a:prstGeom>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E35B9"/>
    <w:multiLevelType w:val="hybridMultilevel"/>
    <w:tmpl w:val="2EC48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16775A"/>
    <w:multiLevelType w:val="hybridMultilevel"/>
    <w:tmpl w:val="CEAE7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FB638A"/>
    <w:multiLevelType w:val="hybridMultilevel"/>
    <w:tmpl w:val="010473F4"/>
    <w:lvl w:ilvl="0" w:tplc="B71C532C">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73137B5"/>
    <w:multiLevelType w:val="hybridMultilevel"/>
    <w:tmpl w:val="560C7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927A85"/>
    <w:multiLevelType w:val="hybridMultilevel"/>
    <w:tmpl w:val="224E503A"/>
    <w:lvl w:ilvl="0" w:tplc="B71C532C">
      <w:numFmt w:val="bullet"/>
      <w:lvlText w:val="-"/>
      <w:lvlJc w:val="left"/>
      <w:pPr>
        <w:ind w:left="720" w:hanging="360"/>
      </w:pPr>
      <w:rPr>
        <w:rFonts w:ascii="Aptos" w:eastAsiaTheme="minorHAnsi" w:hAnsi="Aptos"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2EBB66CE"/>
    <w:multiLevelType w:val="hybridMultilevel"/>
    <w:tmpl w:val="5FB2B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316B67"/>
    <w:multiLevelType w:val="hybridMultilevel"/>
    <w:tmpl w:val="18C25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DD0690"/>
    <w:multiLevelType w:val="hybridMultilevel"/>
    <w:tmpl w:val="EF58B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030E81"/>
    <w:multiLevelType w:val="hybridMultilevel"/>
    <w:tmpl w:val="56B4BE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0D70A3"/>
    <w:multiLevelType w:val="hybridMultilevel"/>
    <w:tmpl w:val="C7208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CF4D65"/>
    <w:multiLevelType w:val="hybridMultilevel"/>
    <w:tmpl w:val="CC2E8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EF3045"/>
    <w:multiLevelType w:val="hybridMultilevel"/>
    <w:tmpl w:val="E69A5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F6921C1"/>
    <w:multiLevelType w:val="hybridMultilevel"/>
    <w:tmpl w:val="29726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11"/>
  </w:num>
  <w:num w:numId="4">
    <w:abstractNumId w:val="1"/>
  </w:num>
  <w:num w:numId="5">
    <w:abstractNumId w:val="7"/>
  </w:num>
  <w:num w:numId="6">
    <w:abstractNumId w:val="5"/>
  </w:num>
  <w:num w:numId="7">
    <w:abstractNumId w:val="12"/>
  </w:num>
  <w:num w:numId="8">
    <w:abstractNumId w:val="0"/>
  </w:num>
  <w:num w:numId="9">
    <w:abstractNumId w:val="3"/>
  </w:num>
  <w:num w:numId="10">
    <w:abstractNumId w:val="2"/>
  </w:num>
  <w:num w:numId="11">
    <w:abstractNumId w:val="6"/>
  </w:num>
  <w:num w:numId="12">
    <w:abstractNumId w:val="9"/>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displayBackgroundShape/>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50B"/>
    <w:rsid w:val="00004A90"/>
    <w:rsid w:val="00035DA1"/>
    <w:rsid w:val="000563CB"/>
    <w:rsid w:val="000904F1"/>
    <w:rsid w:val="000A658F"/>
    <w:rsid w:val="000B2D6C"/>
    <w:rsid w:val="00112594"/>
    <w:rsid w:val="00121619"/>
    <w:rsid w:val="00143945"/>
    <w:rsid w:val="00154BCA"/>
    <w:rsid w:val="00176B1D"/>
    <w:rsid w:val="00181B49"/>
    <w:rsid w:val="001907F8"/>
    <w:rsid w:val="001B447D"/>
    <w:rsid w:val="001B62F3"/>
    <w:rsid w:val="001D125E"/>
    <w:rsid w:val="001E7A57"/>
    <w:rsid w:val="0021586E"/>
    <w:rsid w:val="00221FAA"/>
    <w:rsid w:val="00226698"/>
    <w:rsid w:val="00227E82"/>
    <w:rsid w:val="00231369"/>
    <w:rsid w:val="00246B2C"/>
    <w:rsid w:val="00260848"/>
    <w:rsid w:val="002A0618"/>
    <w:rsid w:val="002C1677"/>
    <w:rsid w:val="002F3850"/>
    <w:rsid w:val="00317BAC"/>
    <w:rsid w:val="00343545"/>
    <w:rsid w:val="00343ED5"/>
    <w:rsid w:val="003676C3"/>
    <w:rsid w:val="003706F8"/>
    <w:rsid w:val="0038315D"/>
    <w:rsid w:val="003860B0"/>
    <w:rsid w:val="003B0459"/>
    <w:rsid w:val="003B39D0"/>
    <w:rsid w:val="003E7973"/>
    <w:rsid w:val="003F189D"/>
    <w:rsid w:val="003F76CE"/>
    <w:rsid w:val="00402733"/>
    <w:rsid w:val="00406CE0"/>
    <w:rsid w:val="0041388E"/>
    <w:rsid w:val="00425DF3"/>
    <w:rsid w:val="00430488"/>
    <w:rsid w:val="004377C0"/>
    <w:rsid w:val="00474FFF"/>
    <w:rsid w:val="00477455"/>
    <w:rsid w:val="004D5F90"/>
    <w:rsid w:val="004D6C21"/>
    <w:rsid w:val="004E3ACD"/>
    <w:rsid w:val="004F6013"/>
    <w:rsid w:val="0050062A"/>
    <w:rsid w:val="00503CD4"/>
    <w:rsid w:val="005128F0"/>
    <w:rsid w:val="0051420E"/>
    <w:rsid w:val="00523574"/>
    <w:rsid w:val="0055260C"/>
    <w:rsid w:val="00582EEB"/>
    <w:rsid w:val="00593B1E"/>
    <w:rsid w:val="005947A8"/>
    <w:rsid w:val="005A097D"/>
    <w:rsid w:val="005C20F1"/>
    <w:rsid w:val="005D4334"/>
    <w:rsid w:val="005E5465"/>
    <w:rsid w:val="005E6699"/>
    <w:rsid w:val="005F0BCC"/>
    <w:rsid w:val="005F150B"/>
    <w:rsid w:val="005F745D"/>
    <w:rsid w:val="0060432A"/>
    <w:rsid w:val="00605803"/>
    <w:rsid w:val="006156D3"/>
    <w:rsid w:val="0062148A"/>
    <w:rsid w:val="0063101B"/>
    <w:rsid w:val="0064048A"/>
    <w:rsid w:val="0064771F"/>
    <w:rsid w:val="00650AEC"/>
    <w:rsid w:val="00674549"/>
    <w:rsid w:val="00690E18"/>
    <w:rsid w:val="00703ED3"/>
    <w:rsid w:val="00704225"/>
    <w:rsid w:val="0071282F"/>
    <w:rsid w:val="00715D31"/>
    <w:rsid w:val="00766AB4"/>
    <w:rsid w:val="00774AF4"/>
    <w:rsid w:val="007C4E6C"/>
    <w:rsid w:val="007C5A09"/>
    <w:rsid w:val="007D4328"/>
    <w:rsid w:val="007E18A5"/>
    <w:rsid w:val="00816842"/>
    <w:rsid w:val="00817684"/>
    <w:rsid w:val="008222FC"/>
    <w:rsid w:val="00833FDA"/>
    <w:rsid w:val="00834385"/>
    <w:rsid w:val="00837787"/>
    <w:rsid w:val="0084787A"/>
    <w:rsid w:val="0086323E"/>
    <w:rsid w:val="008A124D"/>
    <w:rsid w:val="008A71D4"/>
    <w:rsid w:val="008B43C1"/>
    <w:rsid w:val="008D55B5"/>
    <w:rsid w:val="008D7A36"/>
    <w:rsid w:val="00914101"/>
    <w:rsid w:val="00922E17"/>
    <w:rsid w:val="00925682"/>
    <w:rsid w:val="00933799"/>
    <w:rsid w:val="0093751D"/>
    <w:rsid w:val="00937B75"/>
    <w:rsid w:val="009648AD"/>
    <w:rsid w:val="009863E6"/>
    <w:rsid w:val="009B5E8A"/>
    <w:rsid w:val="009C6302"/>
    <w:rsid w:val="009F3FC1"/>
    <w:rsid w:val="00A00B10"/>
    <w:rsid w:val="00A02C87"/>
    <w:rsid w:val="00A373A5"/>
    <w:rsid w:val="00A62B46"/>
    <w:rsid w:val="00AB0FC7"/>
    <w:rsid w:val="00AC12FF"/>
    <w:rsid w:val="00B56A40"/>
    <w:rsid w:val="00B62B34"/>
    <w:rsid w:val="00BA33C9"/>
    <w:rsid w:val="00BA565D"/>
    <w:rsid w:val="00BB4A0B"/>
    <w:rsid w:val="00BB7706"/>
    <w:rsid w:val="00BC3566"/>
    <w:rsid w:val="00BC72C3"/>
    <w:rsid w:val="00BD275B"/>
    <w:rsid w:val="00BF6856"/>
    <w:rsid w:val="00C000F7"/>
    <w:rsid w:val="00C036C1"/>
    <w:rsid w:val="00C11A0C"/>
    <w:rsid w:val="00C141F8"/>
    <w:rsid w:val="00C21B97"/>
    <w:rsid w:val="00C22FAB"/>
    <w:rsid w:val="00C658D5"/>
    <w:rsid w:val="00C77F40"/>
    <w:rsid w:val="00C93A8F"/>
    <w:rsid w:val="00C97610"/>
    <w:rsid w:val="00CB4EB7"/>
    <w:rsid w:val="00CB6CBA"/>
    <w:rsid w:val="00CC23F0"/>
    <w:rsid w:val="00D00F5B"/>
    <w:rsid w:val="00D05BED"/>
    <w:rsid w:val="00D14F2D"/>
    <w:rsid w:val="00D1659F"/>
    <w:rsid w:val="00D20A55"/>
    <w:rsid w:val="00DA56DB"/>
    <w:rsid w:val="00DA6EB6"/>
    <w:rsid w:val="00DB2EB7"/>
    <w:rsid w:val="00DC41DF"/>
    <w:rsid w:val="00DD293E"/>
    <w:rsid w:val="00DD6AA1"/>
    <w:rsid w:val="00E14E66"/>
    <w:rsid w:val="00E27446"/>
    <w:rsid w:val="00E517CA"/>
    <w:rsid w:val="00E8382A"/>
    <w:rsid w:val="00E84277"/>
    <w:rsid w:val="00E95EBD"/>
    <w:rsid w:val="00EA4CB6"/>
    <w:rsid w:val="00EB54F8"/>
    <w:rsid w:val="00EB64F2"/>
    <w:rsid w:val="00EC7A8C"/>
    <w:rsid w:val="00ED6584"/>
    <w:rsid w:val="00EE2B0B"/>
    <w:rsid w:val="00EE493A"/>
    <w:rsid w:val="00EE4B26"/>
    <w:rsid w:val="00EE5DBF"/>
    <w:rsid w:val="00EF5AD9"/>
    <w:rsid w:val="00F0616A"/>
    <w:rsid w:val="00F12010"/>
    <w:rsid w:val="00F33557"/>
    <w:rsid w:val="00F36F7C"/>
    <w:rsid w:val="00F76B17"/>
    <w:rsid w:val="00F83792"/>
    <w:rsid w:val="00F83FEE"/>
    <w:rsid w:val="00FC2DA8"/>
    <w:rsid w:val="00FE28C8"/>
    <w:rsid w:val="00FF58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1CBEE2"/>
  <w15:chartTrackingRefBased/>
  <w15:docId w15:val="{06813F29-BAF8-AF48-8D64-B8D611582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425DF3"/>
    <w:pPr>
      <w:spacing w:after="0" w:line="260" w:lineRule="exact"/>
    </w:pPr>
    <w:rPr>
      <w:color w:val="202334" w:themeColor="text1"/>
      <w:sz w:val="18"/>
    </w:rPr>
  </w:style>
  <w:style w:type="paragraph" w:styleId="berschrift1">
    <w:name w:val="heading 1"/>
    <w:basedOn w:val="Standard"/>
    <w:next w:val="Standard"/>
    <w:link w:val="berschrift1Zchn"/>
    <w:uiPriority w:val="9"/>
    <w:qFormat/>
    <w:rsid w:val="00EE493A"/>
    <w:pPr>
      <w:spacing w:before="240" w:after="200" w:line="520" w:lineRule="exact"/>
      <w:outlineLvl w:val="0"/>
    </w:pPr>
    <w:rPr>
      <w:sz w:val="40"/>
      <w:szCs w:val="40"/>
    </w:rPr>
  </w:style>
  <w:style w:type="paragraph" w:styleId="berschrift2">
    <w:name w:val="heading 2"/>
    <w:basedOn w:val="Standard"/>
    <w:next w:val="Standard"/>
    <w:link w:val="berschrift2Zchn"/>
    <w:uiPriority w:val="9"/>
    <w:unhideWhenUsed/>
    <w:qFormat/>
    <w:rsid w:val="00BB7706"/>
    <w:pPr>
      <w:keepNext/>
      <w:keepLines/>
      <w:spacing w:before="160" w:after="80"/>
      <w:outlineLvl w:val="1"/>
    </w:pPr>
    <w:rPr>
      <w:rFonts w:asciiTheme="majorHAnsi" w:eastAsiaTheme="majorEastAsia" w:hAnsiTheme="majorHAnsi" w:cstheme="majorBidi"/>
      <w:color w:val="00AB87" w:themeColor="accent1" w:themeShade="BF"/>
      <w:sz w:val="32"/>
      <w:szCs w:val="32"/>
    </w:rPr>
  </w:style>
  <w:style w:type="paragraph" w:styleId="berschrift3">
    <w:name w:val="heading 3"/>
    <w:basedOn w:val="Standard"/>
    <w:next w:val="Standard"/>
    <w:link w:val="berschrift3Zchn"/>
    <w:uiPriority w:val="9"/>
    <w:unhideWhenUsed/>
    <w:qFormat/>
    <w:rsid w:val="00BB7706"/>
    <w:pPr>
      <w:keepNext/>
      <w:keepLines/>
      <w:spacing w:before="160" w:after="80"/>
      <w:outlineLvl w:val="2"/>
    </w:pPr>
    <w:rPr>
      <w:rFonts w:eastAsiaTheme="majorEastAsia" w:cstheme="majorBidi"/>
      <w:color w:val="00AB87" w:themeColor="accent1" w:themeShade="BF"/>
      <w:sz w:val="28"/>
      <w:szCs w:val="28"/>
    </w:rPr>
  </w:style>
  <w:style w:type="paragraph" w:styleId="berschrift4">
    <w:name w:val="heading 4"/>
    <w:basedOn w:val="Standard"/>
    <w:next w:val="Standard"/>
    <w:link w:val="berschrift4Zchn"/>
    <w:uiPriority w:val="9"/>
    <w:semiHidden/>
    <w:unhideWhenUsed/>
    <w:qFormat/>
    <w:rsid w:val="00BB7706"/>
    <w:pPr>
      <w:keepNext/>
      <w:keepLines/>
      <w:spacing w:before="80" w:after="40"/>
      <w:outlineLvl w:val="3"/>
    </w:pPr>
    <w:rPr>
      <w:rFonts w:eastAsiaTheme="majorEastAsia" w:cstheme="majorBidi"/>
      <w:i/>
      <w:iCs/>
      <w:color w:val="00AB87" w:themeColor="accent1" w:themeShade="BF"/>
    </w:rPr>
  </w:style>
  <w:style w:type="paragraph" w:styleId="berschrift5">
    <w:name w:val="heading 5"/>
    <w:basedOn w:val="Standard"/>
    <w:next w:val="Standard"/>
    <w:link w:val="berschrift5Zchn"/>
    <w:uiPriority w:val="9"/>
    <w:semiHidden/>
    <w:unhideWhenUsed/>
    <w:qFormat/>
    <w:rsid w:val="00BB7706"/>
    <w:pPr>
      <w:keepNext/>
      <w:keepLines/>
      <w:spacing w:before="80" w:after="40"/>
      <w:outlineLvl w:val="4"/>
    </w:pPr>
    <w:rPr>
      <w:rFonts w:eastAsiaTheme="majorEastAsia" w:cstheme="majorBidi"/>
      <w:color w:val="00AB87" w:themeColor="accent1" w:themeShade="BF"/>
    </w:rPr>
  </w:style>
  <w:style w:type="paragraph" w:styleId="berschrift6">
    <w:name w:val="heading 6"/>
    <w:basedOn w:val="Standard"/>
    <w:next w:val="Standard"/>
    <w:link w:val="berschrift6Zchn"/>
    <w:uiPriority w:val="9"/>
    <w:semiHidden/>
    <w:unhideWhenUsed/>
    <w:qFormat/>
    <w:rsid w:val="00BB7706"/>
    <w:pPr>
      <w:keepNext/>
      <w:keepLines/>
      <w:spacing w:before="40"/>
      <w:outlineLvl w:val="5"/>
    </w:pPr>
    <w:rPr>
      <w:rFonts w:eastAsiaTheme="majorEastAsia" w:cstheme="majorBidi"/>
      <w:i/>
      <w:iCs/>
      <w:color w:val="586090" w:themeColor="text1" w:themeTint="A6"/>
    </w:rPr>
  </w:style>
  <w:style w:type="paragraph" w:styleId="berschrift7">
    <w:name w:val="heading 7"/>
    <w:basedOn w:val="Standard"/>
    <w:next w:val="Standard"/>
    <w:link w:val="berschrift7Zchn"/>
    <w:uiPriority w:val="9"/>
    <w:semiHidden/>
    <w:unhideWhenUsed/>
    <w:qFormat/>
    <w:rsid w:val="00BB7706"/>
    <w:pPr>
      <w:keepNext/>
      <w:keepLines/>
      <w:spacing w:before="40"/>
      <w:outlineLvl w:val="6"/>
    </w:pPr>
    <w:rPr>
      <w:rFonts w:eastAsiaTheme="majorEastAsia" w:cstheme="majorBidi"/>
      <w:color w:val="586090" w:themeColor="text1" w:themeTint="A6"/>
    </w:rPr>
  </w:style>
  <w:style w:type="paragraph" w:styleId="berschrift8">
    <w:name w:val="heading 8"/>
    <w:basedOn w:val="Standard"/>
    <w:next w:val="Standard"/>
    <w:link w:val="berschrift8Zchn"/>
    <w:uiPriority w:val="9"/>
    <w:semiHidden/>
    <w:unhideWhenUsed/>
    <w:qFormat/>
    <w:rsid w:val="00BB7706"/>
    <w:pPr>
      <w:keepNext/>
      <w:keepLines/>
      <w:outlineLvl w:val="7"/>
    </w:pPr>
    <w:rPr>
      <w:rFonts w:eastAsiaTheme="majorEastAsia" w:cstheme="majorBidi"/>
      <w:i/>
      <w:iCs/>
      <w:color w:val="383E5C" w:themeColor="text1" w:themeTint="D8"/>
    </w:rPr>
  </w:style>
  <w:style w:type="paragraph" w:styleId="berschrift9">
    <w:name w:val="heading 9"/>
    <w:basedOn w:val="Standard"/>
    <w:next w:val="Standard"/>
    <w:link w:val="berschrift9Zchn"/>
    <w:uiPriority w:val="9"/>
    <w:semiHidden/>
    <w:unhideWhenUsed/>
    <w:qFormat/>
    <w:rsid w:val="00BB7706"/>
    <w:pPr>
      <w:keepNext/>
      <w:keepLines/>
      <w:outlineLvl w:val="8"/>
    </w:pPr>
    <w:rPr>
      <w:rFonts w:eastAsiaTheme="majorEastAsia" w:cstheme="majorBidi"/>
      <w:color w:val="383E5C"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E493A"/>
    <w:rPr>
      <w:color w:val="202334" w:themeColor="text1"/>
      <w:sz w:val="40"/>
      <w:szCs w:val="40"/>
    </w:rPr>
  </w:style>
  <w:style w:type="character" w:customStyle="1" w:styleId="berschrift2Zchn">
    <w:name w:val="Überschrift 2 Zchn"/>
    <w:basedOn w:val="Absatz-Standardschriftart"/>
    <w:link w:val="berschrift2"/>
    <w:uiPriority w:val="9"/>
    <w:rsid w:val="00BB7706"/>
    <w:rPr>
      <w:rFonts w:asciiTheme="majorHAnsi" w:eastAsiaTheme="majorEastAsia" w:hAnsiTheme="majorHAnsi" w:cstheme="majorBidi"/>
      <w:color w:val="00AB87" w:themeColor="accent1" w:themeShade="BF"/>
      <w:sz w:val="32"/>
      <w:szCs w:val="32"/>
    </w:rPr>
  </w:style>
  <w:style w:type="character" w:customStyle="1" w:styleId="berschrift3Zchn">
    <w:name w:val="Überschrift 3 Zchn"/>
    <w:basedOn w:val="Absatz-Standardschriftart"/>
    <w:link w:val="berschrift3"/>
    <w:uiPriority w:val="9"/>
    <w:rsid w:val="00BB7706"/>
    <w:rPr>
      <w:rFonts w:eastAsiaTheme="majorEastAsia" w:cstheme="majorBidi"/>
      <w:color w:val="00AB87" w:themeColor="accent1" w:themeShade="BF"/>
      <w:sz w:val="28"/>
      <w:szCs w:val="28"/>
    </w:rPr>
  </w:style>
  <w:style w:type="character" w:customStyle="1" w:styleId="berschrift4Zchn">
    <w:name w:val="Überschrift 4 Zchn"/>
    <w:basedOn w:val="Absatz-Standardschriftart"/>
    <w:link w:val="berschrift4"/>
    <w:uiPriority w:val="9"/>
    <w:semiHidden/>
    <w:rsid w:val="00BB7706"/>
    <w:rPr>
      <w:rFonts w:eastAsiaTheme="majorEastAsia" w:cstheme="majorBidi"/>
      <w:i/>
      <w:iCs/>
      <w:color w:val="00AB87" w:themeColor="accent1" w:themeShade="BF"/>
    </w:rPr>
  </w:style>
  <w:style w:type="character" w:customStyle="1" w:styleId="berschrift5Zchn">
    <w:name w:val="Überschrift 5 Zchn"/>
    <w:basedOn w:val="Absatz-Standardschriftart"/>
    <w:link w:val="berschrift5"/>
    <w:uiPriority w:val="9"/>
    <w:semiHidden/>
    <w:rsid w:val="00BB7706"/>
    <w:rPr>
      <w:rFonts w:eastAsiaTheme="majorEastAsia" w:cstheme="majorBidi"/>
      <w:color w:val="00AB87" w:themeColor="accent1" w:themeShade="BF"/>
    </w:rPr>
  </w:style>
  <w:style w:type="character" w:customStyle="1" w:styleId="berschrift6Zchn">
    <w:name w:val="Überschrift 6 Zchn"/>
    <w:basedOn w:val="Absatz-Standardschriftart"/>
    <w:link w:val="berschrift6"/>
    <w:uiPriority w:val="9"/>
    <w:semiHidden/>
    <w:rsid w:val="00BB7706"/>
    <w:rPr>
      <w:rFonts w:eastAsiaTheme="majorEastAsia" w:cstheme="majorBidi"/>
      <w:i/>
      <w:iCs/>
      <w:color w:val="586090" w:themeColor="text1" w:themeTint="A6"/>
    </w:rPr>
  </w:style>
  <w:style w:type="character" w:customStyle="1" w:styleId="berschrift7Zchn">
    <w:name w:val="Überschrift 7 Zchn"/>
    <w:basedOn w:val="Absatz-Standardschriftart"/>
    <w:link w:val="berschrift7"/>
    <w:uiPriority w:val="9"/>
    <w:semiHidden/>
    <w:rsid w:val="00BB7706"/>
    <w:rPr>
      <w:rFonts w:eastAsiaTheme="majorEastAsia" w:cstheme="majorBidi"/>
      <w:color w:val="586090" w:themeColor="text1" w:themeTint="A6"/>
    </w:rPr>
  </w:style>
  <w:style w:type="character" w:customStyle="1" w:styleId="berschrift8Zchn">
    <w:name w:val="Überschrift 8 Zchn"/>
    <w:basedOn w:val="Absatz-Standardschriftart"/>
    <w:link w:val="berschrift8"/>
    <w:uiPriority w:val="9"/>
    <w:semiHidden/>
    <w:rsid w:val="00BB7706"/>
    <w:rPr>
      <w:rFonts w:eastAsiaTheme="majorEastAsia" w:cstheme="majorBidi"/>
      <w:i/>
      <w:iCs/>
      <w:color w:val="383E5C" w:themeColor="text1" w:themeTint="D8"/>
    </w:rPr>
  </w:style>
  <w:style w:type="character" w:customStyle="1" w:styleId="berschrift9Zchn">
    <w:name w:val="Überschrift 9 Zchn"/>
    <w:basedOn w:val="Absatz-Standardschriftart"/>
    <w:link w:val="berschrift9"/>
    <w:uiPriority w:val="9"/>
    <w:semiHidden/>
    <w:rsid w:val="00BB7706"/>
    <w:rPr>
      <w:rFonts w:eastAsiaTheme="majorEastAsia" w:cstheme="majorBidi"/>
      <w:color w:val="383E5C" w:themeColor="text1" w:themeTint="D8"/>
    </w:rPr>
  </w:style>
  <w:style w:type="paragraph" w:styleId="Titel">
    <w:name w:val="Title"/>
    <w:basedOn w:val="Standard"/>
    <w:next w:val="Standard"/>
    <w:link w:val="TitelZchn"/>
    <w:uiPriority w:val="10"/>
    <w:qFormat/>
    <w:rsid w:val="00BB77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B7706"/>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BB7706"/>
    <w:pPr>
      <w:numPr>
        <w:ilvl w:val="1"/>
      </w:numPr>
    </w:pPr>
    <w:rPr>
      <w:rFonts w:eastAsiaTheme="majorEastAsia" w:cstheme="majorBidi"/>
      <w:color w:val="586090" w:themeColor="text1" w:themeTint="A6"/>
      <w:spacing w:val="15"/>
      <w:sz w:val="28"/>
      <w:szCs w:val="28"/>
    </w:rPr>
  </w:style>
  <w:style w:type="character" w:customStyle="1" w:styleId="UntertitelZchn">
    <w:name w:val="Untertitel Zchn"/>
    <w:basedOn w:val="Absatz-Standardschriftart"/>
    <w:link w:val="Untertitel"/>
    <w:uiPriority w:val="11"/>
    <w:rsid w:val="00BB7706"/>
    <w:rPr>
      <w:rFonts w:eastAsiaTheme="majorEastAsia" w:cstheme="majorBidi"/>
      <w:color w:val="586090" w:themeColor="text1" w:themeTint="A6"/>
      <w:spacing w:val="15"/>
      <w:sz w:val="28"/>
      <w:szCs w:val="28"/>
    </w:rPr>
  </w:style>
  <w:style w:type="paragraph" w:styleId="Zitat">
    <w:name w:val="Quote"/>
    <w:basedOn w:val="Standard"/>
    <w:next w:val="Standard"/>
    <w:link w:val="ZitatZchn"/>
    <w:uiPriority w:val="29"/>
    <w:rsid w:val="00BB7706"/>
    <w:pPr>
      <w:spacing w:before="160"/>
      <w:jc w:val="center"/>
    </w:pPr>
    <w:rPr>
      <w:i/>
      <w:iCs/>
      <w:color w:val="484F76" w:themeColor="text1" w:themeTint="BF"/>
    </w:rPr>
  </w:style>
  <w:style w:type="character" w:customStyle="1" w:styleId="ZitatZchn">
    <w:name w:val="Zitat Zchn"/>
    <w:basedOn w:val="Absatz-Standardschriftart"/>
    <w:link w:val="Zitat"/>
    <w:uiPriority w:val="29"/>
    <w:rsid w:val="00BB7706"/>
    <w:rPr>
      <w:i/>
      <w:iCs/>
      <w:color w:val="484F76" w:themeColor="text1" w:themeTint="BF"/>
    </w:rPr>
  </w:style>
  <w:style w:type="paragraph" w:styleId="Listenabsatz">
    <w:name w:val="List Paragraph"/>
    <w:basedOn w:val="Standard"/>
    <w:uiPriority w:val="34"/>
    <w:qFormat/>
    <w:rsid w:val="00BB7706"/>
    <w:pPr>
      <w:ind w:left="720"/>
      <w:contextualSpacing/>
    </w:pPr>
  </w:style>
  <w:style w:type="character" w:styleId="IntensiveHervorhebung">
    <w:name w:val="Intense Emphasis"/>
    <w:basedOn w:val="Absatz-Standardschriftart"/>
    <w:uiPriority w:val="21"/>
    <w:rsid w:val="00BB7706"/>
    <w:rPr>
      <w:i/>
      <w:iCs/>
      <w:color w:val="00AB87" w:themeColor="accent1" w:themeShade="BF"/>
    </w:rPr>
  </w:style>
  <w:style w:type="paragraph" w:styleId="IntensivesZitat">
    <w:name w:val="Intense Quote"/>
    <w:basedOn w:val="Standard"/>
    <w:next w:val="Standard"/>
    <w:link w:val="IntensivesZitatZchn"/>
    <w:uiPriority w:val="30"/>
    <w:rsid w:val="00BB7706"/>
    <w:pPr>
      <w:pBdr>
        <w:top w:val="single" w:sz="4" w:space="10" w:color="00AB87" w:themeColor="accent1" w:themeShade="BF"/>
        <w:bottom w:val="single" w:sz="4" w:space="10" w:color="00AB87" w:themeColor="accent1" w:themeShade="BF"/>
      </w:pBdr>
      <w:spacing w:before="360" w:after="360"/>
      <w:ind w:left="864" w:right="864"/>
      <w:jc w:val="center"/>
    </w:pPr>
    <w:rPr>
      <w:i/>
      <w:iCs/>
      <w:color w:val="00AB87" w:themeColor="accent1" w:themeShade="BF"/>
    </w:rPr>
  </w:style>
  <w:style w:type="character" w:customStyle="1" w:styleId="IntensivesZitatZchn">
    <w:name w:val="Intensives Zitat Zchn"/>
    <w:basedOn w:val="Absatz-Standardschriftart"/>
    <w:link w:val="IntensivesZitat"/>
    <w:uiPriority w:val="30"/>
    <w:rsid w:val="00BB7706"/>
    <w:rPr>
      <w:i/>
      <w:iCs/>
      <w:color w:val="00AB87" w:themeColor="accent1" w:themeShade="BF"/>
    </w:rPr>
  </w:style>
  <w:style w:type="character" w:styleId="IntensiverVerweis">
    <w:name w:val="Intense Reference"/>
    <w:basedOn w:val="Absatz-Standardschriftart"/>
    <w:uiPriority w:val="32"/>
    <w:rsid w:val="00BB7706"/>
    <w:rPr>
      <w:b/>
      <w:bCs/>
      <w:smallCaps/>
      <w:color w:val="00AB87" w:themeColor="accent1" w:themeShade="BF"/>
      <w:spacing w:val="5"/>
    </w:rPr>
  </w:style>
  <w:style w:type="paragraph" w:styleId="Kopfzeile">
    <w:name w:val="header"/>
    <w:basedOn w:val="Standard"/>
    <w:link w:val="KopfzeileZchn"/>
    <w:uiPriority w:val="99"/>
    <w:unhideWhenUsed/>
    <w:rsid w:val="00BB7706"/>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B7706"/>
  </w:style>
  <w:style w:type="paragraph" w:styleId="Fuzeile">
    <w:name w:val="footer"/>
    <w:basedOn w:val="Standard"/>
    <w:link w:val="FuzeileZchn"/>
    <w:uiPriority w:val="99"/>
    <w:unhideWhenUsed/>
    <w:rsid w:val="00BB7706"/>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B7706"/>
  </w:style>
  <w:style w:type="paragraph" w:customStyle="1" w:styleId="StandardEinzug">
    <w:name w:val="Standard Einzug"/>
    <w:basedOn w:val="Standard"/>
    <w:next w:val="Standard"/>
    <w:qFormat/>
    <w:rsid w:val="00425DF3"/>
    <w:pPr>
      <w:ind w:left="737"/>
    </w:pPr>
    <w:rPr>
      <w:noProof/>
    </w:rPr>
  </w:style>
  <w:style w:type="paragraph" w:customStyle="1" w:styleId="StandardBold">
    <w:name w:val="Standard Bold"/>
    <w:basedOn w:val="Standard"/>
    <w:qFormat/>
    <w:rsid w:val="00425DF3"/>
    <w:rPr>
      <w:rFonts w:ascii="Kantumruy Pro SemiBold" w:hAnsi="Kantumruy Pro SemiBold"/>
    </w:rPr>
  </w:style>
  <w:style w:type="character" w:styleId="Fett">
    <w:name w:val="Strong"/>
    <w:basedOn w:val="Absatz-Standardschriftart"/>
    <w:uiPriority w:val="22"/>
    <w:qFormat/>
    <w:rsid w:val="00425DF3"/>
    <w:rPr>
      <w:rFonts w:ascii="Kantumruy Pro SemiBold" w:hAnsi="Kantumruy Pro SemiBold"/>
      <w:b w:val="0"/>
      <w:bCs/>
    </w:rPr>
  </w:style>
  <w:style w:type="character" w:styleId="Platzhaltertext">
    <w:name w:val="Placeholder Text"/>
    <w:basedOn w:val="Absatz-Standardschriftart"/>
    <w:uiPriority w:val="99"/>
    <w:semiHidden/>
    <w:rsid w:val="00BB4A0B"/>
    <w:rPr>
      <w:color w:val="666666"/>
    </w:rPr>
  </w:style>
  <w:style w:type="table" w:styleId="Tabellenraster">
    <w:name w:val="Table Grid"/>
    <w:basedOn w:val="NormaleTabelle"/>
    <w:uiPriority w:val="39"/>
    <w:rsid w:val="008632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feld">
    <w:name w:val="Listenfeld"/>
    <w:basedOn w:val="Standard"/>
    <w:qFormat/>
    <w:rsid w:val="001B62F3"/>
    <w:pPr>
      <w:spacing w:line="340" w:lineRule="exact"/>
    </w:pPr>
    <w:rPr>
      <w:color w:val="auto"/>
      <w:sz w:val="28"/>
      <w:shd w:val="clear" w:color="auto" w:fill="202334" w:themeFill="text1"/>
    </w:rPr>
  </w:style>
  <w:style w:type="character" w:styleId="Hyperlink">
    <w:name w:val="Hyperlink"/>
    <w:basedOn w:val="Absatz-Standardschriftart"/>
    <w:uiPriority w:val="99"/>
    <w:unhideWhenUsed/>
    <w:rsid w:val="00E517CA"/>
    <w:rPr>
      <w:color w:val="FF3859" w:themeColor="hyperlink"/>
      <w:u w:val="single"/>
    </w:rPr>
  </w:style>
  <w:style w:type="character" w:styleId="BesuchterLink">
    <w:name w:val="FollowedHyperlink"/>
    <w:basedOn w:val="Absatz-Standardschriftart"/>
    <w:uiPriority w:val="99"/>
    <w:semiHidden/>
    <w:unhideWhenUsed/>
    <w:rsid w:val="00E517CA"/>
    <w:rPr>
      <w:color w:val="B4E0E8" w:themeColor="followedHyperlink"/>
      <w:u w:val="single"/>
    </w:rPr>
  </w:style>
  <w:style w:type="character" w:customStyle="1" w:styleId="Formatvorlage1">
    <w:name w:val="Formatvorlage1"/>
    <w:basedOn w:val="BesuchterLink"/>
    <w:uiPriority w:val="1"/>
    <w:qFormat/>
    <w:rsid w:val="005F745D"/>
    <w:rPr>
      <w:noProof/>
      <w:color w:val="000000" w:themeColor="text2"/>
      <w:u w:val="single"/>
    </w:rPr>
  </w:style>
  <w:style w:type="paragraph" w:styleId="StandardWeb">
    <w:name w:val="Normal (Web)"/>
    <w:basedOn w:val="Standard"/>
    <w:uiPriority w:val="99"/>
    <w:semiHidden/>
    <w:unhideWhenUsed/>
    <w:rsid w:val="00D00F5B"/>
    <w:pPr>
      <w:spacing w:before="100" w:beforeAutospacing="1" w:after="100" w:afterAutospacing="1" w:line="240" w:lineRule="auto"/>
    </w:pPr>
    <w:rPr>
      <w:rFonts w:ascii="Times New Roman" w:eastAsia="Times New Roman" w:hAnsi="Times New Roman" w:cs="Times New Roman"/>
      <w:color w:val="auto"/>
      <w:kern w:val="0"/>
      <w:sz w:val="24"/>
      <w:szCs w:val="24"/>
      <w:lang w:val="en-US"/>
      <w14:ligatures w14:val="none"/>
    </w:rPr>
  </w:style>
  <w:style w:type="character" w:styleId="Hervorhebung">
    <w:name w:val="Emphasis"/>
    <w:basedOn w:val="Absatz-Standardschriftart"/>
    <w:uiPriority w:val="20"/>
    <w:qFormat/>
    <w:rsid w:val="008D55B5"/>
    <w:rPr>
      <w:i/>
      <w:iCs/>
    </w:rPr>
  </w:style>
  <w:style w:type="paragraph" w:styleId="Beschriftung">
    <w:name w:val="caption"/>
    <w:basedOn w:val="Standard"/>
    <w:next w:val="Standard"/>
    <w:uiPriority w:val="35"/>
    <w:unhideWhenUsed/>
    <w:qFormat/>
    <w:rsid w:val="00774AF4"/>
    <w:pPr>
      <w:spacing w:after="200" w:line="240" w:lineRule="auto"/>
    </w:pPr>
    <w:rPr>
      <w:i/>
      <w:iCs/>
      <w:color w:val="000000" w:themeColor="text2"/>
      <w:szCs w:val="18"/>
    </w:rPr>
  </w:style>
  <w:style w:type="character" w:styleId="Kommentarzeichen">
    <w:name w:val="annotation reference"/>
    <w:basedOn w:val="Absatz-Standardschriftart"/>
    <w:uiPriority w:val="99"/>
    <w:semiHidden/>
    <w:unhideWhenUsed/>
    <w:rsid w:val="0051420E"/>
    <w:rPr>
      <w:sz w:val="16"/>
      <w:szCs w:val="16"/>
    </w:rPr>
  </w:style>
  <w:style w:type="paragraph" w:styleId="Kommentartext">
    <w:name w:val="annotation text"/>
    <w:basedOn w:val="Standard"/>
    <w:link w:val="KommentartextZchn"/>
    <w:uiPriority w:val="99"/>
    <w:semiHidden/>
    <w:unhideWhenUsed/>
    <w:rsid w:val="0051420E"/>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1420E"/>
    <w:rPr>
      <w:color w:val="202334" w:themeColor="text1"/>
      <w:sz w:val="20"/>
      <w:szCs w:val="20"/>
    </w:rPr>
  </w:style>
  <w:style w:type="paragraph" w:styleId="Kommentarthema">
    <w:name w:val="annotation subject"/>
    <w:basedOn w:val="Kommentartext"/>
    <w:next w:val="Kommentartext"/>
    <w:link w:val="KommentarthemaZchn"/>
    <w:uiPriority w:val="99"/>
    <w:semiHidden/>
    <w:unhideWhenUsed/>
    <w:rsid w:val="0051420E"/>
    <w:rPr>
      <w:b/>
      <w:bCs/>
    </w:rPr>
  </w:style>
  <w:style w:type="character" w:customStyle="1" w:styleId="KommentarthemaZchn">
    <w:name w:val="Kommentarthema Zchn"/>
    <w:basedOn w:val="KommentartextZchn"/>
    <w:link w:val="Kommentarthema"/>
    <w:uiPriority w:val="99"/>
    <w:semiHidden/>
    <w:rsid w:val="0051420E"/>
    <w:rPr>
      <w:b/>
      <w:bCs/>
      <w:color w:val="202334" w:themeColor="text1"/>
      <w:sz w:val="20"/>
      <w:szCs w:val="20"/>
    </w:rPr>
  </w:style>
  <w:style w:type="paragraph" w:styleId="Sprechblasentext">
    <w:name w:val="Balloon Text"/>
    <w:basedOn w:val="Standard"/>
    <w:link w:val="SprechblasentextZchn"/>
    <w:uiPriority w:val="99"/>
    <w:semiHidden/>
    <w:unhideWhenUsed/>
    <w:rsid w:val="0051420E"/>
    <w:pPr>
      <w:spacing w:line="240" w:lineRule="auto"/>
    </w:pPr>
    <w:rPr>
      <w:rFonts w:ascii="Segoe UI" w:hAnsi="Segoe UI" w:cs="Segoe UI"/>
      <w:szCs w:val="18"/>
    </w:rPr>
  </w:style>
  <w:style w:type="character" w:customStyle="1" w:styleId="SprechblasentextZchn">
    <w:name w:val="Sprechblasentext Zchn"/>
    <w:basedOn w:val="Absatz-Standardschriftart"/>
    <w:link w:val="Sprechblasentext"/>
    <w:uiPriority w:val="99"/>
    <w:semiHidden/>
    <w:rsid w:val="0051420E"/>
    <w:rPr>
      <w:rFonts w:ascii="Segoe UI" w:hAnsi="Segoe UI" w:cs="Segoe UI"/>
      <w:color w:val="202334"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574686">
      <w:bodyDiv w:val="1"/>
      <w:marLeft w:val="0"/>
      <w:marRight w:val="0"/>
      <w:marTop w:val="0"/>
      <w:marBottom w:val="0"/>
      <w:divBdr>
        <w:top w:val="none" w:sz="0" w:space="0" w:color="auto"/>
        <w:left w:val="none" w:sz="0" w:space="0" w:color="auto"/>
        <w:bottom w:val="none" w:sz="0" w:space="0" w:color="auto"/>
        <w:right w:val="none" w:sz="0" w:space="0" w:color="auto"/>
      </w:divBdr>
      <w:divsChild>
        <w:div w:id="27032181">
          <w:marLeft w:val="480"/>
          <w:marRight w:val="0"/>
          <w:marTop w:val="0"/>
          <w:marBottom w:val="0"/>
          <w:divBdr>
            <w:top w:val="none" w:sz="0" w:space="0" w:color="auto"/>
            <w:left w:val="none" w:sz="0" w:space="0" w:color="auto"/>
            <w:bottom w:val="none" w:sz="0" w:space="0" w:color="auto"/>
            <w:right w:val="none" w:sz="0" w:space="0" w:color="auto"/>
          </w:divBdr>
          <w:divsChild>
            <w:div w:id="1603296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984084">
      <w:bodyDiv w:val="1"/>
      <w:marLeft w:val="0"/>
      <w:marRight w:val="0"/>
      <w:marTop w:val="0"/>
      <w:marBottom w:val="0"/>
      <w:divBdr>
        <w:top w:val="none" w:sz="0" w:space="0" w:color="auto"/>
        <w:left w:val="none" w:sz="0" w:space="0" w:color="auto"/>
        <w:bottom w:val="none" w:sz="0" w:space="0" w:color="auto"/>
        <w:right w:val="none" w:sz="0" w:space="0" w:color="auto"/>
      </w:divBdr>
    </w:div>
    <w:div w:id="360742008">
      <w:bodyDiv w:val="1"/>
      <w:marLeft w:val="0"/>
      <w:marRight w:val="0"/>
      <w:marTop w:val="0"/>
      <w:marBottom w:val="0"/>
      <w:divBdr>
        <w:top w:val="none" w:sz="0" w:space="0" w:color="auto"/>
        <w:left w:val="none" w:sz="0" w:space="0" w:color="auto"/>
        <w:bottom w:val="none" w:sz="0" w:space="0" w:color="auto"/>
        <w:right w:val="none" w:sz="0" w:space="0" w:color="auto"/>
      </w:divBdr>
      <w:divsChild>
        <w:div w:id="1259291800">
          <w:marLeft w:val="480"/>
          <w:marRight w:val="0"/>
          <w:marTop w:val="0"/>
          <w:marBottom w:val="0"/>
          <w:divBdr>
            <w:top w:val="none" w:sz="0" w:space="0" w:color="auto"/>
            <w:left w:val="none" w:sz="0" w:space="0" w:color="auto"/>
            <w:bottom w:val="none" w:sz="0" w:space="0" w:color="auto"/>
            <w:right w:val="none" w:sz="0" w:space="0" w:color="auto"/>
          </w:divBdr>
          <w:divsChild>
            <w:div w:id="22126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099164">
      <w:bodyDiv w:val="1"/>
      <w:marLeft w:val="0"/>
      <w:marRight w:val="0"/>
      <w:marTop w:val="0"/>
      <w:marBottom w:val="0"/>
      <w:divBdr>
        <w:top w:val="none" w:sz="0" w:space="0" w:color="auto"/>
        <w:left w:val="none" w:sz="0" w:space="0" w:color="auto"/>
        <w:bottom w:val="none" w:sz="0" w:space="0" w:color="auto"/>
        <w:right w:val="none" w:sz="0" w:space="0" w:color="auto"/>
      </w:divBdr>
      <w:divsChild>
        <w:div w:id="2050914066">
          <w:marLeft w:val="480"/>
          <w:marRight w:val="0"/>
          <w:marTop w:val="0"/>
          <w:marBottom w:val="0"/>
          <w:divBdr>
            <w:top w:val="none" w:sz="0" w:space="0" w:color="auto"/>
            <w:left w:val="none" w:sz="0" w:space="0" w:color="auto"/>
            <w:bottom w:val="none" w:sz="0" w:space="0" w:color="auto"/>
            <w:right w:val="none" w:sz="0" w:space="0" w:color="auto"/>
          </w:divBdr>
          <w:divsChild>
            <w:div w:id="1346127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701845">
      <w:bodyDiv w:val="1"/>
      <w:marLeft w:val="0"/>
      <w:marRight w:val="0"/>
      <w:marTop w:val="0"/>
      <w:marBottom w:val="0"/>
      <w:divBdr>
        <w:top w:val="none" w:sz="0" w:space="0" w:color="auto"/>
        <w:left w:val="none" w:sz="0" w:space="0" w:color="auto"/>
        <w:bottom w:val="none" w:sz="0" w:space="0" w:color="auto"/>
        <w:right w:val="none" w:sz="0" w:space="0" w:color="auto"/>
      </w:divBdr>
      <w:divsChild>
        <w:div w:id="522785534">
          <w:marLeft w:val="480"/>
          <w:marRight w:val="0"/>
          <w:marTop w:val="0"/>
          <w:marBottom w:val="0"/>
          <w:divBdr>
            <w:top w:val="none" w:sz="0" w:space="0" w:color="auto"/>
            <w:left w:val="none" w:sz="0" w:space="0" w:color="auto"/>
            <w:bottom w:val="none" w:sz="0" w:space="0" w:color="auto"/>
            <w:right w:val="none" w:sz="0" w:space="0" w:color="auto"/>
          </w:divBdr>
          <w:divsChild>
            <w:div w:id="269826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827991">
      <w:bodyDiv w:val="1"/>
      <w:marLeft w:val="0"/>
      <w:marRight w:val="0"/>
      <w:marTop w:val="0"/>
      <w:marBottom w:val="0"/>
      <w:divBdr>
        <w:top w:val="none" w:sz="0" w:space="0" w:color="auto"/>
        <w:left w:val="none" w:sz="0" w:space="0" w:color="auto"/>
        <w:bottom w:val="none" w:sz="0" w:space="0" w:color="auto"/>
        <w:right w:val="none" w:sz="0" w:space="0" w:color="auto"/>
      </w:divBdr>
    </w:div>
    <w:div w:id="813641097">
      <w:bodyDiv w:val="1"/>
      <w:marLeft w:val="0"/>
      <w:marRight w:val="0"/>
      <w:marTop w:val="0"/>
      <w:marBottom w:val="0"/>
      <w:divBdr>
        <w:top w:val="none" w:sz="0" w:space="0" w:color="auto"/>
        <w:left w:val="none" w:sz="0" w:space="0" w:color="auto"/>
        <w:bottom w:val="none" w:sz="0" w:space="0" w:color="auto"/>
        <w:right w:val="none" w:sz="0" w:space="0" w:color="auto"/>
      </w:divBdr>
    </w:div>
    <w:div w:id="899052161">
      <w:bodyDiv w:val="1"/>
      <w:marLeft w:val="0"/>
      <w:marRight w:val="0"/>
      <w:marTop w:val="0"/>
      <w:marBottom w:val="0"/>
      <w:divBdr>
        <w:top w:val="none" w:sz="0" w:space="0" w:color="auto"/>
        <w:left w:val="none" w:sz="0" w:space="0" w:color="auto"/>
        <w:bottom w:val="none" w:sz="0" w:space="0" w:color="auto"/>
        <w:right w:val="none" w:sz="0" w:space="0" w:color="auto"/>
      </w:divBdr>
      <w:divsChild>
        <w:div w:id="1857228732">
          <w:marLeft w:val="480"/>
          <w:marRight w:val="0"/>
          <w:marTop w:val="0"/>
          <w:marBottom w:val="0"/>
          <w:divBdr>
            <w:top w:val="none" w:sz="0" w:space="0" w:color="auto"/>
            <w:left w:val="none" w:sz="0" w:space="0" w:color="auto"/>
            <w:bottom w:val="none" w:sz="0" w:space="0" w:color="auto"/>
            <w:right w:val="none" w:sz="0" w:space="0" w:color="auto"/>
          </w:divBdr>
          <w:divsChild>
            <w:div w:id="795030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9806">
      <w:bodyDiv w:val="1"/>
      <w:marLeft w:val="0"/>
      <w:marRight w:val="0"/>
      <w:marTop w:val="0"/>
      <w:marBottom w:val="0"/>
      <w:divBdr>
        <w:top w:val="none" w:sz="0" w:space="0" w:color="auto"/>
        <w:left w:val="none" w:sz="0" w:space="0" w:color="auto"/>
        <w:bottom w:val="none" w:sz="0" w:space="0" w:color="auto"/>
        <w:right w:val="none" w:sz="0" w:space="0" w:color="auto"/>
      </w:divBdr>
    </w:div>
    <w:div w:id="1031223346">
      <w:bodyDiv w:val="1"/>
      <w:marLeft w:val="0"/>
      <w:marRight w:val="0"/>
      <w:marTop w:val="0"/>
      <w:marBottom w:val="0"/>
      <w:divBdr>
        <w:top w:val="none" w:sz="0" w:space="0" w:color="auto"/>
        <w:left w:val="none" w:sz="0" w:space="0" w:color="auto"/>
        <w:bottom w:val="none" w:sz="0" w:space="0" w:color="auto"/>
        <w:right w:val="none" w:sz="0" w:space="0" w:color="auto"/>
      </w:divBdr>
    </w:div>
    <w:div w:id="1092974977">
      <w:bodyDiv w:val="1"/>
      <w:marLeft w:val="0"/>
      <w:marRight w:val="0"/>
      <w:marTop w:val="0"/>
      <w:marBottom w:val="0"/>
      <w:divBdr>
        <w:top w:val="none" w:sz="0" w:space="0" w:color="auto"/>
        <w:left w:val="none" w:sz="0" w:space="0" w:color="auto"/>
        <w:bottom w:val="none" w:sz="0" w:space="0" w:color="auto"/>
        <w:right w:val="none" w:sz="0" w:space="0" w:color="auto"/>
      </w:divBdr>
    </w:div>
    <w:div w:id="1190218445">
      <w:bodyDiv w:val="1"/>
      <w:marLeft w:val="0"/>
      <w:marRight w:val="0"/>
      <w:marTop w:val="0"/>
      <w:marBottom w:val="0"/>
      <w:divBdr>
        <w:top w:val="none" w:sz="0" w:space="0" w:color="auto"/>
        <w:left w:val="none" w:sz="0" w:space="0" w:color="auto"/>
        <w:bottom w:val="none" w:sz="0" w:space="0" w:color="auto"/>
        <w:right w:val="none" w:sz="0" w:space="0" w:color="auto"/>
      </w:divBdr>
    </w:div>
    <w:div w:id="1207794554">
      <w:bodyDiv w:val="1"/>
      <w:marLeft w:val="0"/>
      <w:marRight w:val="0"/>
      <w:marTop w:val="0"/>
      <w:marBottom w:val="0"/>
      <w:divBdr>
        <w:top w:val="none" w:sz="0" w:space="0" w:color="auto"/>
        <w:left w:val="none" w:sz="0" w:space="0" w:color="auto"/>
        <w:bottom w:val="none" w:sz="0" w:space="0" w:color="auto"/>
        <w:right w:val="none" w:sz="0" w:space="0" w:color="auto"/>
      </w:divBdr>
    </w:div>
    <w:div w:id="1259094401">
      <w:bodyDiv w:val="1"/>
      <w:marLeft w:val="0"/>
      <w:marRight w:val="0"/>
      <w:marTop w:val="0"/>
      <w:marBottom w:val="0"/>
      <w:divBdr>
        <w:top w:val="none" w:sz="0" w:space="0" w:color="auto"/>
        <w:left w:val="none" w:sz="0" w:space="0" w:color="auto"/>
        <w:bottom w:val="none" w:sz="0" w:space="0" w:color="auto"/>
        <w:right w:val="none" w:sz="0" w:space="0" w:color="auto"/>
      </w:divBdr>
    </w:div>
    <w:div w:id="1474520898">
      <w:bodyDiv w:val="1"/>
      <w:marLeft w:val="0"/>
      <w:marRight w:val="0"/>
      <w:marTop w:val="0"/>
      <w:marBottom w:val="0"/>
      <w:divBdr>
        <w:top w:val="none" w:sz="0" w:space="0" w:color="auto"/>
        <w:left w:val="none" w:sz="0" w:space="0" w:color="auto"/>
        <w:bottom w:val="none" w:sz="0" w:space="0" w:color="auto"/>
        <w:right w:val="none" w:sz="0" w:space="0" w:color="auto"/>
      </w:divBdr>
    </w:div>
    <w:div w:id="1487891106">
      <w:bodyDiv w:val="1"/>
      <w:marLeft w:val="0"/>
      <w:marRight w:val="0"/>
      <w:marTop w:val="0"/>
      <w:marBottom w:val="0"/>
      <w:divBdr>
        <w:top w:val="none" w:sz="0" w:space="0" w:color="auto"/>
        <w:left w:val="none" w:sz="0" w:space="0" w:color="auto"/>
        <w:bottom w:val="none" w:sz="0" w:space="0" w:color="auto"/>
        <w:right w:val="none" w:sz="0" w:space="0" w:color="auto"/>
      </w:divBdr>
      <w:divsChild>
        <w:div w:id="1566721782">
          <w:marLeft w:val="480"/>
          <w:marRight w:val="0"/>
          <w:marTop w:val="0"/>
          <w:marBottom w:val="0"/>
          <w:divBdr>
            <w:top w:val="none" w:sz="0" w:space="0" w:color="auto"/>
            <w:left w:val="none" w:sz="0" w:space="0" w:color="auto"/>
            <w:bottom w:val="none" w:sz="0" w:space="0" w:color="auto"/>
            <w:right w:val="none" w:sz="0" w:space="0" w:color="auto"/>
          </w:divBdr>
          <w:divsChild>
            <w:div w:id="1740397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173069">
      <w:bodyDiv w:val="1"/>
      <w:marLeft w:val="0"/>
      <w:marRight w:val="0"/>
      <w:marTop w:val="0"/>
      <w:marBottom w:val="0"/>
      <w:divBdr>
        <w:top w:val="none" w:sz="0" w:space="0" w:color="auto"/>
        <w:left w:val="none" w:sz="0" w:space="0" w:color="auto"/>
        <w:bottom w:val="none" w:sz="0" w:space="0" w:color="auto"/>
        <w:right w:val="none" w:sz="0" w:space="0" w:color="auto"/>
      </w:divBdr>
    </w:div>
    <w:div w:id="1821843071">
      <w:bodyDiv w:val="1"/>
      <w:marLeft w:val="0"/>
      <w:marRight w:val="0"/>
      <w:marTop w:val="0"/>
      <w:marBottom w:val="0"/>
      <w:divBdr>
        <w:top w:val="none" w:sz="0" w:space="0" w:color="auto"/>
        <w:left w:val="none" w:sz="0" w:space="0" w:color="auto"/>
        <w:bottom w:val="none" w:sz="0" w:space="0" w:color="auto"/>
        <w:right w:val="none" w:sz="0" w:space="0" w:color="auto"/>
      </w:divBdr>
      <w:divsChild>
        <w:div w:id="511184653">
          <w:marLeft w:val="480"/>
          <w:marRight w:val="0"/>
          <w:marTop w:val="0"/>
          <w:marBottom w:val="0"/>
          <w:divBdr>
            <w:top w:val="none" w:sz="0" w:space="0" w:color="auto"/>
            <w:left w:val="none" w:sz="0" w:space="0" w:color="auto"/>
            <w:bottom w:val="none" w:sz="0" w:space="0" w:color="auto"/>
            <w:right w:val="none" w:sz="0" w:space="0" w:color="auto"/>
          </w:divBdr>
          <w:divsChild>
            <w:div w:id="463738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527822">
      <w:bodyDiv w:val="1"/>
      <w:marLeft w:val="0"/>
      <w:marRight w:val="0"/>
      <w:marTop w:val="0"/>
      <w:marBottom w:val="0"/>
      <w:divBdr>
        <w:top w:val="none" w:sz="0" w:space="0" w:color="auto"/>
        <w:left w:val="none" w:sz="0" w:space="0" w:color="auto"/>
        <w:bottom w:val="none" w:sz="0" w:space="0" w:color="auto"/>
        <w:right w:val="none" w:sz="0" w:space="0" w:color="auto"/>
      </w:divBdr>
    </w:div>
    <w:div w:id="2087070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doi.org/10.1145/3607822.3614539"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doi.org/10.1590/s1980-6574201900010015" TargetMode="External"/><Relationship Id="rId17" Type="http://schemas.openxmlformats.org/officeDocument/2006/relationships/hyperlink" Target="https://doi.org/10.2165/11595450-000000000-00000" TargetMode="External"/><Relationship Id="rId2" Type="http://schemas.openxmlformats.org/officeDocument/2006/relationships/numbering" Target="numbering.xml"/><Relationship Id="rId16" Type="http://schemas.openxmlformats.org/officeDocument/2006/relationships/hyperlink" Target="https://doi.org/10.1080/17408989.2012.726982"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1111/bjet.13030"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oi.org/10.1371/journal.pone.0222351" TargetMode="External"/><Relationship Id="rId23" Type="http://schemas.openxmlformats.org/officeDocument/2006/relationships/glossaryDocument" Target="glossary/document.xml"/><Relationship Id="rId10" Type="http://schemas.openxmlformats.org/officeDocument/2006/relationships/image" Target="media/image17.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doi.org/10.1007/978-3-662-70105-8"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8" Type="http://schemas.openxmlformats.org/officeDocument/2006/relationships/image" Target="media/image11.png"/><Relationship Id="rId13" Type="http://schemas.openxmlformats.org/officeDocument/2006/relationships/image" Target="media/image16.svg"/><Relationship Id="rId3" Type="http://schemas.openxmlformats.org/officeDocument/2006/relationships/image" Target="media/image6.png"/><Relationship Id="rId7" Type="http://schemas.openxmlformats.org/officeDocument/2006/relationships/image" Target="media/image10.svg"/><Relationship Id="rId12" Type="http://schemas.openxmlformats.org/officeDocument/2006/relationships/image" Target="media/image15.png"/><Relationship Id="rId2" Type="http://schemas.openxmlformats.org/officeDocument/2006/relationships/image" Target="media/image5.png"/><Relationship Id="rId1" Type="http://schemas.openxmlformats.org/officeDocument/2006/relationships/hyperlink" Target="https://creativecommons.org/licenses/by/4.0/legalcode.de" TargetMode="External"/><Relationship Id="rId6" Type="http://schemas.openxmlformats.org/officeDocument/2006/relationships/image" Target="media/image9.png"/><Relationship Id="rId11" Type="http://schemas.openxmlformats.org/officeDocument/2006/relationships/image" Target="media/image14.svg"/><Relationship Id="rId5" Type="http://schemas.openxmlformats.org/officeDocument/2006/relationships/image" Target="media/image8.svg"/><Relationship Id="rId10" Type="http://schemas.openxmlformats.org/officeDocument/2006/relationships/image" Target="media/image13.png"/><Relationship Id="rId4" Type="http://schemas.openxmlformats.org/officeDocument/2006/relationships/image" Target="media/image7.png"/><Relationship Id="rId9" Type="http://schemas.openxmlformats.org/officeDocument/2006/relationships/image" Target="media/image12.svg"/></Relationships>
</file>

<file path=word/_rels/footer2.xml.rels><?xml version="1.0" encoding="UTF-8" standalone="yes"?>
<Relationships xmlns="http://schemas.openxmlformats.org/package/2006/relationships"><Relationship Id="rId8" Type="http://schemas.openxmlformats.org/officeDocument/2006/relationships/image" Target="media/image16.svg"/><Relationship Id="rId3" Type="http://schemas.openxmlformats.org/officeDocument/2006/relationships/image" Target="media/image11.png"/><Relationship Id="rId7" Type="http://schemas.openxmlformats.org/officeDocument/2006/relationships/image" Target="media/image15.png"/><Relationship Id="rId2" Type="http://schemas.openxmlformats.org/officeDocument/2006/relationships/image" Target="media/image6.png"/><Relationship Id="rId1" Type="http://schemas.openxmlformats.org/officeDocument/2006/relationships/image" Target="media/image5.png"/><Relationship Id="rId6" Type="http://schemas.openxmlformats.org/officeDocument/2006/relationships/image" Target="media/image14.svg"/><Relationship Id="rId5" Type="http://schemas.openxmlformats.org/officeDocument/2006/relationships/image" Target="media/image13.png"/><Relationship Id="rId4" Type="http://schemas.openxmlformats.org/officeDocument/2006/relationships/image" Target="media/image12.svg"/></Relationships>
</file>

<file path=word/_rels/footer3.xml.rels><?xml version="1.0" encoding="UTF-8" standalone="yes"?>
<Relationships xmlns="http://schemas.openxmlformats.org/package/2006/relationships"><Relationship Id="rId8" Type="http://schemas.openxmlformats.org/officeDocument/2006/relationships/image" Target="media/image11.png"/><Relationship Id="rId13" Type="http://schemas.openxmlformats.org/officeDocument/2006/relationships/image" Target="media/image16.svg"/><Relationship Id="rId3" Type="http://schemas.openxmlformats.org/officeDocument/2006/relationships/image" Target="media/image5.png"/><Relationship Id="rId7" Type="http://schemas.openxmlformats.org/officeDocument/2006/relationships/image" Target="media/image8.svg"/><Relationship Id="rId12" Type="http://schemas.openxmlformats.org/officeDocument/2006/relationships/image" Target="media/image15.png"/><Relationship Id="rId2" Type="http://schemas.openxmlformats.org/officeDocument/2006/relationships/image" Target="media/image6.png"/><Relationship Id="rId1" Type="http://schemas.openxmlformats.org/officeDocument/2006/relationships/hyperlink" Target="https://creativecommons.org/licenses/by/4.0/legalcode.de" TargetMode="External"/><Relationship Id="rId6" Type="http://schemas.openxmlformats.org/officeDocument/2006/relationships/image" Target="media/image7.png"/><Relationship Id="rId11" Type="http://schemas.openxmlformats.org/officeDocument/2006/relationships/image" Target="media/image14.svg"/><Relationship Id="rId5" Type="http://schemas.openxmlformats.org/officeDocument/2006/relationships/image" Target="media/image10.svg"/><Relationship Id="rId10" Type="http://schemas.openxmlformats.org/officeDocument/2006/relationships/image" Target="media/image13.png"/><Relationship Id="rId4" Type="http://schemas.openxmlformats.org/officeDocument/2006/relationships/image" Target="media/image9.png"/><Relationship Id="rId9" Type="http://schemas.openxmlformats.org/officeDocument/2006/relationships/image" Target="media/image12.sv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8C02F65D9509A47B434398E7C9BE828"/>
        <w:category>
          <w:name w:val="Allgemein"/>
          <w:gallery w:val="placeholder"/>
        </w:category>
        <w:types>
          <w:type w:val="bbPlcHdr"/>
        </w:types>
        <w:behaviors>
          <w:behavior w:val="content"/>
        </w:behaviors>
        <w:guid w:val="{D6595E12-AA7F-054A-BEDE-6A22C8B34CFB}"/>
      </w:docPartPr>
      <w:docPartBody>
        <w:p w:rsidR="0050601F" w:rsidRDefault="00151DD7">
          <w:pPr>
            <w:pStyle w:val="68C02F65D9509A47B434398E7C9BE828"/>
          </w:pPr>
          <w:r w:rsidRPr="00F07484">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mbria"/>
    <w:charset w:val="00"/>
    <w:family w:val="swiss"/>
    <w:pitch w:val="variable"/>
    <w:sig w:usb0="20000287" w:usb1="00000003" w:usb2="00000000" w:usb3="00000000" w:csb0="0000019F" w:csb1="00000000"/>
  </w:font>
  <w:font w:name="Kantumruy Pro">
    <w:altName w:val="Cambria"/>
    <w:charset w:val="00"/>
    <w:family w:val="auto"/>
    <w:pitch w:val="variable"/>
    <w:sig w:usb0="80000023" w:usb1="00000002" w:usb2="00010000" w:usb3="00000000" w:csb0="00000001" w:csb1="00000000"/>
  </w:font>
  <w:font w:name="Kantumruy Pro SemiBold">
    <w:altName w:val="Khmer UI"/>
    <w:charset w:val="00"/>
    <w:family w:val="auto"/>
    <w:pitch w:val="variable"/>
    <w:sig w:usb0="80000023" w:usb1="00000002" w:usb2="0001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615"/>
    <w:rsid w:val="00151DD7"/>
    <w:rsid w:val="002F3850"/>
    <w:rsid w:val="00320615"/>
    <w:rsid w:val="0050601F"/>
    <w:rsid w:val="00515D76"/>
    <w:rsid w:val="006E5D39"/>
    <w:rsid w:val="006F7F31"/>
    <w:rsid w:val="00716911"/>
    <w:rsid w:val="00761C27"/>
    <w:rsid w:val="007F2813"/>
    <w:rsid w:val="00836135"/>
    <w:rsid w:val="00886EEF"/>
    <w:rsid w:val="008A70F5"/>
    <w:rsid w:val="008A71D4"/>
    <w:rsid w:val="009863E6"/>
    <w:rsid w:val="009B442B"/>
    <w:rsid w:val="00A30F8D"/>
    <w:rsid w:val="00A50E37"/>
    <w:rsid w:val="00BB11E8"/>
    <w:rsid w:val="00BF1230"/>
    <w:rsid w:val="00D52197"/>
    <w:rsid w:val="00DA6B32"/>
    <w:rsid w:val="00DC16E6"/>
    <w:rsid w:val="00DF65D9"/>
    <w:rsid w:val="00F0074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666666"/>
    </w:rPr>
  </w:style>
  <w:style w:type="paragraph" w:customStyle="1" w:styleId="68C02F65D9509A47B434398E7C9BE828">
    <w:name w:val="68C02F65D9509A47B434398E7C9BE8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a:themeElements>
    <a:clrScheme name="Lernen Digital">
      <a:dk1>
        <a:srgbClr val="202334"/>
      </a:dk1>
      <a:lt1>
        <a:sysClr val="window" lastClr="FFFFFF"/>
      </a:lt1>
      <a:dk2>
        <a:srgbClr val="000000"/>
      </a:dk2>
      <a:lt2>
        <a:srgbClr val="E8E8E8"/>
      </a:lt2>
      <a:accent1>
        <a:srgbClr val="00E5B6"/>
      </a:accent1>
      <a:accent2>
        <a:srgbClr val="FF3859"/>
      </a:accent2>
      <a:accent3>
        <a:srgbClr val="FF98FF"/>
      </a:accent3>
      <a:accent4>
        <a:srgbClr val="00B3FF"/>
      </a:accent4>
      <a:accent5>
        <a:srgbClr val="B4E0E8"/>
      </a:accent5>
      <a:accent6>
        <a:srgbClr val="202334"/>
      </a:accent6>
      <a:hlink>
        <a:srgbClr val="FF3859"/>
      </a:hlink>
      <a:folHlink>
        <a:srgbClr val="B4E0E8"/>
      </a:folHlink>
    </a:clrScheme>
    <a:fontScheme name="Lernen Digital">
      <a:majorFont>
        <a:latin typeface="Kantumruy Pro"/>
        <a:ea typeface=""/>
        <a:cs typeface=""/>
      </a:majorFont>
      <a:minorFont>
        <a:latin typeface="Kantumruy Pr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15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9C5D0C-57A1-4FCB-AD76-0F1A80CB4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2229</Words>
  <Characters>12708</Characters>
  <Application>Microsoft Office Word</Application>
  <DocSecurity>0</DocSecurity>
  <Lines>105</Lines>
  <Paragraphs>29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joerg.greiner@sport.uni-freiburg.de</dc:creator>
  <cp:keywords/>
  <dc:description/>
  <cp:lastModifiedBy>Jörg Greiner</cp:lastModifiedBy>
  <cp:revision>19</cp:revision>
  <cp:lastPrinted>2024-08-22T09:52:00Z</cp:lastPrinted>
  <dcterms:created xsi:type="dcterms:W3CDTF">2025-12-02T09:47:00Z</dcterms:created>
  <dcterms:modified xsi:type="dcterms:W3CDTF">2025-12-10T10:27:00Z</dcterms:modified>
</cp:coreProperties>
</file>