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Kantumruy Pro" w:eastAsia="Kantumruy Pro" w:hAnsi="Kantumruy Pro" w:cs="Times New Roman"/>
          <w:sz w:val="28"/>
          <w:shd w:val="clear" w:color="auto" w:fill="202334"/>
          <w:lang w:val="en-US"/>
          <w14:ligatures w14:val="standardContextual"/>
        </w:rPr>
        <w:id w:val="-1236695547"/>
        <w:placeholder>
          <w:docPart w:val="F10C3545753C4F0BB6980A37D76F9E43"/>
        </w:placeholder>
        <w:comboBox>
          <w:listItem w:displayText=" Deutsch " w:value=" Deutsch "/>
          <w:listItem w:displayText=" Fremdsprachen " w:value=" Fremdsprachen "/>
          <w:listItem w:displayText=" Gesellschaftswissenschaften " w:value=" Gesellschaftswissenschaften "/>
          <w:listItem w:displayText=" Mathematik, Informatik, Naturwissenschaften, Technik (MINT) " w:value=" Mathematik, Informatik, Naturwissenschaften, Technik (MINT) "/>
          <w:listItem w:displayText=" Musische Fächer " w:value=" Musische Fächer "/>
          <w:listItem w:displayText=" Religion, Philosophie, Ethik " w:value=" Religion, Philosophie, Ethik "/>
          <w:listItem w:displayText=" Sport " w:value=" Sport "/>
          <w:listItem w:displayText=" Sonstiges " w:value=" Sonstiges "/>
        </w:comboBox>
      </w:sdtPr>
      <w:sdtContent>
        <w:p w14:paraId="47BB32A1" w14:textId="77777777" w:rsidR="005D2B53" w:rsidRDefault="00EA7D30">
          <w:pPr>
            <w:spacing w:before="0" w:after="0" w:line="340" w:lineRule="exact"/>
            <w:jc w:val="left"/>
            <w:rPr>
              <w:rFonts w:ascii="Kantumruy Pro" w:eastAsia="Kantumruy Pro" w:hAnsi="Kantumruy Pro" w:cs="Times New Roman"/>
              <w:sz w:val="28"/>
              <w:shd w:val="clear" w:color="auto" w:fill="202334"/>
              <w:lang w:val="en-US"/>
              <w14:ligatures w14:val="standardContextual"/>
            </w:rPr>
          </w:pPr>
          <w:r>
            <w:rPr>
              <w:rFonts w:ascii="Kantumruy Pro" w:eastAsia="Kantumruy Pro" w:hAnsi="Kantumruy Pro" w:cs="Times New Roman"/>
              <w:sz w:val="28"/>
              <w:shd w:val="clear" w:color="auto" w:fill="202334"/>
              <w:lang w:val="en-US"/>
              <w14:ligatures w14:val="standardContextual"/>
            </w:rPr>
            <w:t> </w:t>
          </w:r>
          <w:proofErr w:type="spellStart"/>
          <w:r>
            <w:rPr>
              <w:rFonts w:ascii="Kantumruy Pro" w:eastAsia="Kantumruy Pro" w:hAnsi="Kantumruy Pro" w:cs="Times New Roman"/>
              <w:sz w:val="28"/>
              <w:shd w:val="clear" w:color="auto" w:fill="202334"/>
              <w:lang w:val="en-US"/>
              <w14:ligatures w14:val="standardContextual"/>
            </w:rPr>
            <w:t>Mathematik</w:t>
          </w:r>
          <w:proofErr w:type="spellEnd"/>
          <w:r>
            <w:rPr>
              <w:rFonts w:ascii="Kantumruy Pro" w:eastAsia="Kantumruy Pro" w:hAnsi="Kantumruy Pro" w:cs="Times New Roman"/>
              <w:sz w:val="28"/>
              <w:shd w:val="clear" w:color="auto" w:fill="202334"/>
              <w:lang w:val="en-US"/>
              <w14:ligatures w14:val="standardContextual"/>
            </w:rPr>
            <w:t xml:space="preserve">, Informatik, </w:t>
          </w:r>
          <w:proofErr w:type="spellStart"/>
          <w:r>
            <w:rPr>
              <w:rFonts w:ascii="Kantumruy Pro" w:eastAsia="Kantumruy Pro" w:hAnsi="Kantumruy Pro" w:cs="Times New Roman"/>
              <w:sz w:val="28"/>
              <w:shd w:val="clear" w:color="auto" w:fill="202334"/>
              <w:lang w:val="en-US"/>
              <w14:ligatures w14:val="standardContextual"/>
            </w:rPr>
            <w:t>Naturwissenschaften</w:t>
          </w:r>
          <w:proofErr w:type="spellEnd"/>
          <w:r>
            <w:rPr>
              <w:rFonts w:ascii="Kantumruy Pro" w:eastAsia="Kantumruy Pro" w:hAnsi="Kantumruy Pro" w:cs="Times New Roman"/>
              <w:sz w:val="28"/>
              <w:shd w:val="clear" w:color="auto" w:fill="202334"/>
              <w:lang w:val="en-US"/>
              <w14:ligatures w14:val="standardContextual"/>
            </w:rPr>
            <w:t xml:space="preserve"> (</w:t>
          </w:r>
          <w:proofErr w:type="spellStart"/>
          <w:r>
            <w:rPr>
              <w:rFonts w:ascii="Kantumruy Pro" w:eastAsia="Kantumruy Pro" w:hAnsi="Kantumruy Pro" w:cs="Times New Roman"/>
              <w:sz w:val="28"/>
              <w:shd w:val="clear" w:color="auto" w:fill="202334"/>
              <w:lang w:val="en-US"/>
              <w14:ligatures w14:val="standardContextual"/>
            </w:rPr>
            <w:t>insb</w:t>
          </w:r>
          <w:proofErr w:type="spellEnd"/>
          <w:r>
            <w:rPr>
              <w:rFonts w:ascii="Kantumruy Pro" w:eastAsia="Kantumruy Pro" w:hAnsi="Kantumruy Pro" w:cs="Times New Roman"/>
              <w:sz w:val="28"/>
              <w:shd w:val="clear" w:color="auto" w:fill="202334"/>
              <w:lang w:val="en-US"/>
              <w14:ligatures w14:val="standardContextual"/>
            </w:rPr>
            <w:t xml:space="preserve">. </w:t>
          </w:r>
          <w:proofErr w:type="spellStart"/>
          <w:r>
            <w:rPr>
              <w:rFonts w:ascii="Kantumruy Pro" w:eastAsia="Kantumruy Pro" w:hAnsi="Kantumruy Pro" w:cs="Times New Roman"/>
              <w:sz w:val="28"/>
              <w:shd w:val="clear" w:color="auto" w:fill="202334"/>
              <w:lang w:val="en-US"/>
              <w14:ligatures w14:val="standardContextual"/>
            </w:rPr>
            <w:t>Biologie</w:t>
          </w:r>
          <w:proofErr w:type="spellEnd"/>
          <w:r>
            <w:rPr>
              <w:rFonts w:ascii="Kantumruy Pro" w:eastAsia="Kantumruy Pro" w:hAnsi="Kantumruy Pro" w:cs="Times New Roman"/>
              <w:sz w:val="28"/>
              <w:shd w:val="clear" w:color="auto" w:fill="202334"/>
              <w:lang w:val="en-US"/>
              <w14:ligatures w14:val="standardContextual"/>
            </w:rPr>
            <w:t>), Technik (MINT) </w:t>
          </w:r>
        </w:p>
      </w:sdtContent>
    </w:sdt>
    <w:p w14:paraId="73921916" w14:textId="77777777" w:rsidR="005D2B53" w:rsidRDefault="00EA7D30">
      <w:pPr>
        <w:spacing w:before="240" w:after="200" w:line="520" w:lineRule="exact"/>
        <w:jc w:val="left"/>
        <w:outlineLvl w:val="0"/>
        <w:rPr>
          <w:rFonts w:ascii="Kantumruy Pro" w:eastAsia="Kantumruy Pro" w:hAnsi="Kantumruy Pro" w:cs="Times New Roman"/>
          <w:color w:val="202334"/>
          <w:sz w:val="40"/>
          <w:szCs w:val="40"/>
          <w:lang w:val="en-US"/>
          <w14:ligatures w14:val="standardContextual"/>
        </w:rPr>
      </w:pPr>
      <w:r>
        <w:rPr>
          <w:rFonts w:ascii="Kantumruy Pro" w:eastAsia="Kantumruy Pro" w:hAnsi="Kantumruy Pro" w:cs="Times New Roman"/>
          <w:color w:val="202334"/>
          <w:sz w:val="40"/>
          <w:szCs w:val="40"/>
          <w:lang w:val="en-US"/>
          <w14:ligatures w14:val="standardContextual"/>
        </w:rPr>
        <w:t>Zuordnung_KLP_MKR_Sek1</w:t>
      </w:r>
    </w:p>
    <w:p w14:paraId="46D94F96" w14:textId="77777777" w:rsidR="005D2B53" w:rsidRDefault="00EA7D30">
      <w:pPr>
        <w:spacing w:before="0" w:after="0" w:line="260" w:lineRule="exact"/>
        <w:ind w:left="737"/>
        <w:jc w:val="left"/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</w:pPr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 xml:space="preserve">Mit dem 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>senseBox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 xml:space="preserve">-System 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>können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 xml:space="preserve"> Sie und 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>Ihre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 xml:space="preserve"> Schüler*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>innen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 xml:space="preserve"> 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>unter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 xml:space="preserve"> 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>Nutzung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 xml:space="preserve"> der 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>Programmierumgebung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 xml:space="preserve"> 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>Blockly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 xml:space="preserve"> 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>Umweltdaten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 xml:space="preserve">, 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>wie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 xml:space="preserve"> 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>z.B.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 xml:space="preserve"> 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>Luftfeuchtigkeit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 xml:space="preserve">, 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>Temperatur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 xml:space="preserve">, 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>Bodenfeuchtigkeit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 xml:space="preserve"> und 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>Kohlenstoffdioxidkonzentration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 xml:space="preserve">, digital 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>erfassen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 xml:space="preserve">. 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>Im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 xml:space="preserve"> 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>Kontext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 xml:space="preserve"> 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>lehrplanrelevanter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 xml:space="preserve"> 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>Themen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 xml:space="preserve"> 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>lernen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 xml:space="preserve"> Sie 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>entsprechende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 xml:space="preserve"> 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>Sensoren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 xml:space="preserve"> 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>einzurichten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 xml:space="preserve">, 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>Datenerhebungen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 xml:space="preserve"> und -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>auswertungen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 xml:space="preserve"> 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>durchzuführen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 xml:space="preserve">. 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>Anhand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 xml:space="preserve"> der 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>Erfahrungen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 xml:space="preserve"> 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>aus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 xml:space="preserve"> der 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>Arbeitsphase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 xml:space="preserve"> 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>werden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 xml:space="preserve"> das 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>Potenzial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 xml:space="preserve"> für den 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>eigenen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 xml:space="preserve"> 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>Unterricht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 xml:space="preserve"> 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>diskutiert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 xml:space="preserve"> und 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>Unterstützungsangebote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 xml:space="preserve"> 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>dazu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 xml:space="preserve"> 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>vorgestellt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  <w:t>.</w:t>
      </w:r>
    </w:p>
    <w:p w14:paraId="19CF0B3B" w14:textId="77777777" w:rsidR="005D2B53" w:rsidRDefault="005D2B53">
      <w:pPr>
        <w:spacing w:before="0" w:after="0" w:line="260" w:lineRule="exact"/>
        <w:jc w:val="left"/>
        <w:rPr>
          <w:rFonts w:ascii="Kantumruy Pro" w:eastAsia="Kantumruy Pro" w:hAnsi="Kantumruy Pro" w:cs="Times New Roman"/>
          <w:color w:val="202334"/>
          <w:sz w:val="18"/>
          <w:lang w:val="en-US"/>
          <w14:ligatures w14:val="standardContextual"/>
        </w:rPr>
      </w:pPr>
    </w:p>
    <w:p w14:paraId="36EE92D4" w14:textId="77777777" w:rsidR="005D2B53" w:rsidRDefault="005D2B53">
      <w:pPr>
        <w:spacing w:before="0" w:after="0" w:line="260" w:lineRule="exact"/>
        <w:ind w:left="720"/>
        <w:contextualSpacing/>
        <w:jc w:val="left"/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</w:pPr>
    </w:p>
    <w:p w14:paraId="798391EC" w14:textId="77777777" w:rsidR="005D2B53" w:rsidRDefault="00EA7D30">
      <w:pPr>
        <w:spacing w:before="0" w:after="0" w:line="260" w:lineRule="exact"/>
        <w:jc w:val="left"/>
        <w:rPr>
          <w:rFonts w:ascii="Kantumruy Pro SemiBold" w:eastAsia="Kantumruy Pro" w:hAnsi="Kantumruy Pro SemiBold" w:cs="Times New Roman"/>
          <w:color w:val="202334"/>
          <w:sz w:val="18"/>
          <w14:ligatures w14:val="standardContextual"/>
        </w:rPr>
      </w:pPr>
      <w:proofErr w:type="spellStart"/>
      <w:proofErr w:type="gramStart"/>
      <w:r>
        <w:rPr>
          <w:rFonts w:ascii="Kantumruy Pro SemiBold" w:eastAsia="Kantumruy Pro" w:hAnsi="Kantumruy Pro SemiBold" w:cs="Times New Roman"/>
          <w:color w:val="202334"/>
          <w:sz w:val="18"/>
          <w14:ligatures w14:val="standardContextual"/>
        </w:rPr>
        <w:t>Autor:innen</w:t>
      </w:r>
      <w:proofErr w:type="spellEnd"/>
      <w:proofErr w:type="gramEnd"/>
      <w:r>
        <w:rPr>
          <w:rFonts w:ascii="Kantumruy Pro SemiBold" w:eastAsia="Kantumruy Pro" w:hAnsi="Kantumruy Pro SemiBold" w:cs="Times New Roman"/>
          <w:color w:val="202334"/>
          <w:sz w:val="18"/>
          <w14:ligatures w14:val="standardContextual"/>
        </w:rPr>
        <w:t xml:space="preserve"> </w:t>
      </w:r>
    </w:p>
    <w:p w14:paraId="478212CE" w14:textId="5BE73861" w:rsidR="005D2B53" w:rsidRDefault="00EA7D30">
      <w:pPr>
        <w:spacing w:before="0" w:after="0" w:line="260" w:lineRule="exact"/>
        <w:jc w:val="left"/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</w:pPr>
      <w:r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  <w:t>[</w:t>
      </w:r>
      <w:r w:rsidR="00C96FD9"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  <w:t>Wolff, P., Lehr- und Forschungsgebiet Didaktik der Biologie, RWTH Aachen University |</w:t>
      </w:r>
      <w:r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  <w:t xml:space="preserve">Scheu, L., Lehr- und Forschungsgebiet Didaktik der Biologie, RWTH Aachen University | Quast, D., Lehr- und Forschungsgebiet Didaktik der Biologie, RWTH Aachen University | </w:t>
      </w:r>
      <w:r w:rsidR="00C96FD9"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  <w:t>Kern</w:t>
      </w:r>
      <w:r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  <w:t>, I., Lehr- und Forschungsgebiet Didaktik der Biologie, RWTH Aachen University | Helf, P., Lehr- und Forschungsgebiet Didaktik der Biologie, RWTH Aachen University | van dem Brink, M., Lehr- und Forschungsgebiet Didaktik der Biologie, RWTH Aachen University</w:t>
      </w:r>
      <w:r w:rsidR="00C96FD9" w:rsidRPr="00C96FD9"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  <w:t xml:space="preserve"> </w:t>
      </w:r>
      <w:r w:rsidR="00C96FD9"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  <w:t>|Lorke, J., Lehr- und Forschungsgebiet Didaktik der Biologie, RWTH Aachen University</w:t>
      </w:r>
      <w:r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  <w:t>]</w:t>
      </w:r>
    </w:p>
    <w:p w14:paraId="64183D47" w14:textId="77777777" w:rsidR="005D2B53" w:rsidRDefault="005D2B53">
      <w:pPr>
        <w:spacing w:before="0" w:after="0" w:line="260" w:lineRule="exact"/>
        <w:jc w:val="left"/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</w:pPr>
    </w:p>
    <w:p w14:paraId="10F3C1D6" w14:textId="77777777" w:rsidR="005D2B53" w:rsidRDefault="00EA7D30">
      <w:pPr>
        <w:spacing w:before="0" w:after="0" w:line="260" w:lineRule="exact"/>
        <w:jc w:val="left"/>
        <w:rPr>
          <w:rFonts w:ascii="Kantumruy Pro SemiBold" w:eastAsia="Kantumruy Pro" w:hAnsi="Kantumruy Pro SemiBold" w:cs="Times New Roman"/>
          <w:color w:val="202334"/>
          <w:sz w:val="18"/>
          <w14:ligatures w14:val="standardContextual"/>
        </w:rPr>
      </w:pPr>
      <w:r>
        <w:rPr>
          <w:rFonts w:ascii="Kantumruy Pro SemiBold" w:eastAsia="Kantumruy Pro" w:hAnsi="Kantumruy Pro SemiBold" w:cs="Times New Roman"/>
          <w:color w:val="202334"/>
          <w:sz w:val="18"/>
          <w14:ligatures w14:val="standardContextual"/>
        </w:rPr>
        <w:t xml:space="preserve">Produkttyp </w:t>
      </w:r>
    </w:p>
    <w:p w14:paraId="725FD793" w14:textId="77777777" w:rsidR="005D2B53" w:rsidRDefault="00EA7D30">
      <w:pPr>
        <w:spacing w:before="0" w:after="0" w:line="260" w:lineRule="exact"/>
        <w:jc w:val="left"/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</w:pPr>
      <w:r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  <w:t>Fortbildungskonzept</w:t>
      </w:r>
    </w:p>
    <w:p w14:paraId="61DE2261" w14:textId="77777777" w:rsidR="005D2B53" w:rsidRDefault="005D2B53">
      <w:pPr>
        <w:spacing w:before="0" w:after="0" w:line="260" w:lineRule="exact"/>
        <w:jc w:val="left"/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</w:pPr>
    </w:p>
    <w:p w14:paraId="21D9C65F" w14:textId="77777777" w:rsidR="005D2B53" w:rsidRDefault="00EA7D30">
      <w:pPr>
        <w:spacing w:before="0" w:after="0" w:line="260" w:lineRule="exact"/>
        <w:jc w:val="left"/>
        <w:rPr>
          <w:rFonts w:ascii="Kantumruy Pro SemiBold" w:eastAsia="Kantumruy Pro" w:hAnsi="Kantumruy Pro SemiBold" w:cs="Times New Roman"/>
          <w:color w:val="202334"/>
          <w:sz w:val="18"/>
          <w14:ligatures w14:val="standardContextual"/>
        </w:rPr>
      </w:pPr>
      <w:r>
        <w:rPr>
          <w:rFonts w:ascii="Kantumruy Pro SemiBold" w:eastAsia="Kantumruy Pro" w:hAnsi="Kantumruy Pro SemiBold" w:cs="Times New Roman"/>
          <w:color w:val="202334"/>
          <w:sz w:val="18"/>
          <w14:ligatures w14:val="standardContextual"/>
        </w:rPr>
        <w:t>Schulstufe</w:t>
      </w:r>
    </w:p>
    <w:p w14:paraId="3A9BE9E7" w14:textId="77777777" w:rsidR="005D2B53" w:rsidRDefault="00EA7D30">
      <w:pPr>
        <w:spacing w:before="0" w:after="0" w:line="260" w:lineRule="exact"/>
        <w:jc w:val="left"/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</w:pPr>
      <w:r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  <w:t>Sekundarstufe I, Sekundarstufe II, Berufliche Bildung</w:t>
      </w:r>
    </w:p>
    <w:p w14:paraId="0A691006" w14:textId="77777777" w:rsidR="005D2B53" w:rsidRDefault="005D2B53">
      <w:pPr>
        <w:spacing w:before="0" w:after="0" w:line="260" w:lineRule="exact"/>
        <w:jc w:val="left"/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</w:pPr>
    </w:p>
    <w:p w14:paraId="7B986621" w14:textId="77777777" w:rsidR="005D2B53" w:rsidRDefault="005D2B53">
      <w:pPr>
        <w:spacing w:before="0" w:after="0" w:line="260" w:lineRule="exact"/>
        <w:jc w:val="left"/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</w:pPr>
    </w:p>
    <w:p w14:paraId="209309C9" w14:textId="77777777" w:rsidR="005D2B53" w:rsidRDefault="005D2B53">
      <w:pPr>
        <w:spacing w:before="0" w:after="0" w:line="260" w:lineRule="exact"/>
        <w:jc w:val="left"/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</w:pPr>
    </w:p>
    <w:p w14:paraId="43EB18FE" w14:textId="77777777" w:rsidR="005D2B53" w:rsidRDefault="005D2B53">
      <w:pPr>
        <w:spacing w:before="0" w:after="0" w:line="260" w:lineRule="exact"/>
        <w:jc w:val="left"/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</w:pPr>
    </w:p>
    <w:p w14:paraId="2D2AB239" w14:textId="77777777" w:rsidR="005D2B53" w:rsidRDefault="005D2B53">
      <w:pPr>
        <w:spacing w:before="0" w:after="0" w:line="260" w:lineRule="exact"/>
        <w:jc w:val="left"/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</w:pPr>
    </w:p>
    <w:p w14:paraId="5A040867" w14:textId="77777777" w:rsidR="005D2B53" w:rsidRDefault="005D2B53">
      <w:pPr>
        <w:spacing w:before="0" w:after="0" w:line="260" w:lineRule="exact"/>
        <w:jc w:val="left"/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</w:pPr>
    </w:p>
    <w:p w14:paraId="67C32D22" w14:textId="77777777" w:rsidR="005D2B53" w:rsidRDefault="005D2B53">
      <w:pPr>
        <w:spacing w:before="0" w:after="0" w:line="260" w:lineRule="exact"/>
        <w:jc w:val="left"/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</w:pPr>
    </w:p>
    <w:p w14:paraId="40849F65" w14:textId="77777777" w:rsidR="005D2B53" w:rsidRDefault="005D2B53">
      <w:pPr>
        <w:pBdr>
          <w:bottom w:val="single" w:sz="4" w:space="1" w:color="000000"/>
        </w:pBdr>
        <w:spacing w:before="240"/>
        <w:jc w:val="left"/>
        <w:rPr>
          <w:b/>
          <w:bCs/>
          <w:sz w:val="24"/>
          <w:szCs w:val="28"/>
        </w:rPr>
        <w:sectPr w:rsidR="005D2B5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440" w:header="708" w:footer="708" w:gutter="0"/>
          <w:pgNumType w:fmt="upperRoman"/>
          <w:cols w:space="708"/>
        </w:sectPr>
      </w:pPr>
    </w:p>
    <w:p w14:paraId="3AE3AE13" w14:textId="77777777" w:rsidR="005D2B53" w:rsidRDefault="005D2B53">
      <w:pPr>
        <w:pBdr>
          <w:bottom w:val="single" w:sz="4" w:space="1" w:color="000000"/>
        </w:pBdr>
        <w:spacing w:before="240"/>
        <w:jc w:val="left"/>
        <w:rPr>
          <w:b/>
          <w:bCs/>
          <w:sz w:val="24"/>
          <w:szCs w:val="28"/>
        </w:rPr>
      </w:pPr>
    </w:p>
    <w:p w14:paraId="4B99D436" w14:textId="77777777" w:rsidR="005D2B53" w:rsidRDefault="00EA7D30">
      <w:pPr>
        <w:pBdr>
          <w:bottom w:val="single" w:sz="4" w:space="1" w:color="000000"/>
        </w:pBdr>
        <w:spacing w:before="240"/>
        <w:jc w:val="left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>Kernlehrplan Biologie Sekundarstufe I Gymnasium</w:t>
      </w:r>
    </w:p>
    <w:p w14:paraId="676EF621" w14:textId="77777777" w:rsidR="005D2B53" w:rsidRDefault="00EA7D30">
      <w:pPr>
        <w:jc w:val="left"/>
        <w:rPr>
          <w:b/>
          <w:bCs/>
        </w:rPr>
      </w:pPr>
      <w:r>
        <w:rPr>
          <w:b/>
          <w:bCs/>
        </w:rPr>
        <w:t>Inhaltsfeld 4: Ökologie und Naturschutz</w:t>
      </w:r>
    </w:p>
    <w:p w14:paraId="26E53A03" w14:textId="77777777" w:rsidR="005D2B53" w:rsidRDefault="00EA7D30">
      <w:pPr>
        <w:jc w:val="left"/>
        <w:rPr>
          <w:i/>
          <w:iCs/>
        </w:rPr>
      </w:pPr>
      <w:r>
        <w:rPr>
          <w:i/>
          <w:iCs/>
        </w:rPr>
        <w:t>Umgang mit Fachwissen</w:t>
      </w:r>
    </w:p>
    <w:p w14:paraId="42EF5FC1" w14:textId="77777777" w:rsidR="005D2B53" w:rsidRDefault="00EA7D30">
      <w:pPr>
        <w:jc w:val="left"/>
      </w:pPr>
      <w:r>
        <w:t>Die Schülerinnen und Schüler können…</w:t>
      </w:r>
    </w:p>
    <w:p w14:paraId="743940B5" w14:textId="77777777" w:rsidR="005D2B53" w:rsidRDefault="00EA7D30">
      <w:pPr>
        <w:pStyle w:val="Listenabsatz"/>
        <w:numPr>
          <w:ilvl w:val="0"/>
          <w:numId w:val="1"/>
        </w:numPr>
        <w:jc w:val="left"/>
      </w:pPr>
      <w:r>
        <w:t xml:space="preserve">das Grundprinzip der Fotosynthese beschreiben und sie als Energiebereitstellungsprozess dem Grundprinzip der Zellatmung gegenüberstellen. </w:t>
      </w:r>
    </w:p>
    <w:p w14:paraId="5374588A" w14:textId="77777777" w:rsidR="005D2B53" w:rsidRDefault="00EA7D30">
      <w:pPr>
        <w:pBdr>
          <w:bottom w:val="single" w:sz="4" w:space="1" w:color="000000"/>
        </w:pBdr>
        <w:spacing w:before="240"/>
        <w:jc w:val="left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>Kernlehrplan Naturwissenschaften Sekundarstufe I Gesamtschule</w:t>
      </w:r>
    </w:p>
    <w:p w14:paraId="3175787B" w14:textId="77777777" w:rsidR="005D2B53" w:rsidRDefault="00EA7D30">
      <w:pPr>
        <w:jc w:val="left"/>
        <w:rPr>
          <w:b/>
          <w:bCs/>
          <w:sz w:val="22"/>
          <w:szCs w:val="24"/>
        </w:rPr>
      </w:pPr>
      <w:r>
        <w:rPr>
          <w:b/>
          <w:bCs/>
          <w:sz w:val="22"/>
          <w:szCs w:val="24"/>
        </w:rPr>
        <w:t>Naturwissenschaften (fächerintegriert)</w:t>
      </w:r>
    </w:p>
    <w:p w14:paraId="029BD211" w14:textId="77777777" w:rsidR="005D2B53" w:rsidRDefault="00EA7D30">
      <w:pPr>
        <w:jc w:val="left"/>
        <w:rPr>
          <w:b/>
          <w:bCs/>
        </w:rPr>
      </w:pPr>
      <w:r>
        <w:rPr>
          <w:b/>
          <w:bCs/>
        </w:rPr>
        <w:t>Inhaltsfeld Sonne, Wetter, Jahreszeiten</w:t>
      </w:r>
    </w:p>
    <w:p w14:paraId="2ED67F50" w14:textId="77777777" w:rsidR="005D2B53" w:rsidRDefault="00EA7D30">
      <w:pPr>
        <w:jc w:val="left"/>
        <w:rPr>
          <w:i/>
          <w:iCs/>
        </w:rPr>
      </w:pPr>
      <w:r>
        <w:rPr>
          <w:i/>
          <w:iCs/>
        </w:rPr>
        <w:t>Erkenntnisgewinnung</w:t>
      </w:r>
    </w:p>
    <w:p w14:paraId="75DEEF30" w14:textId="77777777" w:rsidR="005D2B53" w:rsidRDefault="00EA7D30">
      <w:pPr>
        <w:jc w:val="left"/>
      </w:pPr>
      <w:r>
        <w:t>Die Schülerinnen und Schüler können…</w:t>
      </w:r>
    </w:p>
    <w:p w14:paraId="048AEE17" w14:textId="77777777" w:rsidR="005D2B53" w:rsidRDefault="00EA7D30">
      <w:pPr>
        <w:pStyle w:val="Listenabsatz"/>
        <w:numPr>
          <w:ilvl w:val="0"/>
          <w:numId w:val="2"/>
        </w:numPr>
      </w:pPr>
      <w:r>
        <w:t>experimentell nachweisen, dass bei der Fotosynthese der energiereiche Stoff Stärke nur in grünen Pflanzenteilen und bei Verfügbarkeit von Lichtenergie entsteht.</w:t>
      </w:r>
    </w:p>
    <w:p w14:paraId="60DCA053" w14:textId="77777777" w:rsidR="005D2B53" w:rsidRDefault="00EA7D30">
      <w:pPr>
        <w:jc w:val="left"/>
        <w:rPr>
          <w:i/>
          <w:iCs/>
        </w:rPr>
      </w:pPr>
      <w:r>
        <w:rPr>
          <w:i/>
          <w:iCs/>
        </w:rPr>
        <w:t>Kommunikation</w:t>
      </w:r>
    </w:p>
    <w:p w14:paraId="0AFF844B" w14:textId="77777777" w:rsidR="005D2B53" w:rsidRDefault="00EA7D30">
      <w:pPr>
        <w:jc w:val="left"/>
      </w:pPr>
      <w:r>
        <w:t>Die Schülerinnen und Schüler können…</w:t>
      </w:r>
    </w:p>
    <w:p w14:paraId="0782F98E" w14:textId="77777777" w:rsidR="005D2B53" w:rsidRDefault="00EA7D30">
      <w:pPr>
        <w:pStyle w:val="Listenabsatz"/>
        <w:numPr>
          <w:ilvl w:val="0"/>
          <w:numId w:val="2"/>
        </w:numPr>
        <w:jc w:val="left"/>
      </w:pPr>
      <w:r>
        <w:t>Messdaten in ein vorgegebenes Koordinatensystem eintragen und gegebenenfalls durch eine Messkurve verbinden sowie aus Diagrammen Messwerte ablesen und dabei interpolieren.</w:t>
      </w:r>
    </w:p>
    <w:p w14:paraId="46AC7AED" w14:textId="77777777" w:rsidR="005D2B53" w:rsidRDefault="00EA7D30">
      <w:pPr>
        <w:pStyle w:val="Listenabsatz"/>
        <w:numPr>
          <w:ilvl w:val="0"/>
          <w:numId w:val="2"/>
        </w:numPr>
        <w:jc w:val="left"/>
      </w:pPr>
      <w:r>
        <w:t>den Einfluss abiotischer Faktoren (u. a. auf das Pflanzenwachstum) aus einer Tabelle oder einem Diagramm entnehmen.</w:t>
      </w:r>
    </w:p>
    <w:p w14:paraId="61F4B4BB" w14:textId="77777777" w:rsidR="005D2B53" w:rsidRDefault="00EA7D30">
      <w:pPr>
        <w:jc w:val="left"/>
        <w:rPr>
          <w:b/>
          <w:bCs/>
        </w:rPr>
      </w:pPr>
      <w:r>
        <w:rPr>
          <w:b/>
          <w:bCs/>
        </w:rPr>
        <w:t>Inhaltsfeld Ökosysteme und Ressourcen</w:t>
      </w:r>
    </w:p>
    <w:p w14:paraId="03C65396" w14:textId="77777777" w:rsidR="005D2B53" w:rsidRDefault="00EA7D30">
      <w:pPr>
        <w:jc w:val="left"/>
        <w:rPr>
          <w:i/>
          <w:iCs/>
        </w:rPr>
      </w:pPr>
      <w:r>
        <w:rPr>
          <w:i/>
          <w:iCs/>
        </w:rPr>
        <w:t>Umgang mit Fachwissen</w:t>
      </w:r>
    </w:p>
    <w:p w14:paraId="6A815950" w14:textId="77777777" w:rsidR="005D2B53" w:rsidRDefault="00EA7D30">
      <w:pPr>
        <w:jc w:val="left"/>
      </w:pPr>
      <w:r>
        <w:t>Die Schülerinnen und Schüler können…</w:t>
      </w:r>
    </w:p>
    <w:p w14:paraId="7F4C3843" w14:textId="77777777" w:rsidR="005D2B53" w:rsidRDefault="00EA7D30">
      <w:pPr>
        <w:pStyle w:val="Listenabsatz"/>
        <w:numPr>
          <w:ilvl w:val="0"/>
          <w:numId w:val="4"/>
        </w:numPr>
        <w:jc w:val="left"/>
      </w:pPr>
      <w:r>
        <w:t>die wichtigsten Bestandteile und die prozentuale Zusammensetzung des Gasgemisches Luft benennen.</w:t>
      </w:r>
    </w:p>
    <w:p w14:paraId="2A175941" w14:textId="77777777" w:rsidR="005D2B53" w:rsidRDefault="00EA7D30">
      <w:pPr>
        <w:pStyle w:val="Listenabsatz"/>
        <w:numPr>
          <w:ilvl w:val="0"/>
          <w:numId w:val="4"/>
        </w:numPr>
        <w:jc w:val="left"/>
      </w:pPr>
      <w:r>
        <w:t>das Prinzip der Fotosynthese als Prozess der Umwandlung von Lichtenergie in chemisch gebundene Energie erläutern und der Zellatmung gegenüberstellen.</w:t>
      </w:r>
    </w:p>
    <w:p w14:paraId="5CC7D047" w14:textId="77777777" w:rsidR="005D2B53" w:rsidRDefault="00EA7D30">
      <w:pPr>
        <w:jc w:val="left"/>
        <w:rPr>
          <w:i/>
          <w:iCs/>
        </w:rPr>
      </w:pPr>
      <w:r>
        <w:rPr>
          <w:i/>
          <w:iCs/>
        </w:rPr>
        <w:t>Kommunikation</w:t>
      </w:r>
      <w:r>
        <w:rPr>
          <w:i/>
          <w:iCs/>
        </w:rPr>
        <w:br w:type="page" w:clear="all"/>
      </w:r>
    </w:p>
    <w:p w14:paraId="788E2070" w14:textId="77777777" w:rsidR="005D2B53" w:rsidRDefault="005D2B53">
      <w:pPr>
        <w:jc w:val="left"/>
        <w:rPr>
          <w:i/>
          <w:iCs/>
        </w:rPr>
      </w:pPr>
    </w:p>
    <w:p w14:paraId="7F7F510F" w14:textId="77777777" w:rsidR="005D2B53" w:rsidRDefault="005D2B53">
      <w:pPr>
        <w:jc w:val="left"/>
        <w:rPr>
          <w:i/>
          <w:iCs/>
        </w:rPr>
      </w:pPr>
    </w:p>
    <w:p w14:paraId="5255ADB3" w14:textId="77777777" w:rsidR="005D2B53" w:rsidRDefault="00EA7D30">
      <w:pPr>
        <w:jc w:val="left"/>
      </w:pPr>
      <w:r>
        <w:t>Die Schülerinnen und Schüler können…</w:t>
      </w:r>
    </w:p>
    <w:p w14:paraId="3BF5929B" w14:textId="77777777" w:rsidR="005D2B53" w:rsidRDefault="00EA7D30">
      <w:pPr>
        <w:pStyle w:val="Listenabsatz"/>
        <w:numPr>
          <w:ilvl w:val="0"/>
          <w:numId w:val="3"/>
        </w:numPr>
        <w:jc w:val="left"/>
      </w:pPr>
      <w:r>
        <w:t>bei Untersuchungen (u. a. von Wasser und Luft) Fragestellungen, Vorgehensweisen, Ergebnisse und Schlussfolgerungen nachvollziehbar dokumentieren.</w:t>
      </w:r>
    </w:p>
    <w:p w14:paraId="57061155" w14:textId="77777777" w:rsidR="005D2B53" w:rsidRDefault="00EA7D30">
      <w:pPr>
        <w:pStyle w:val="Listenabsatz"/>
        <w:numPr>
          <w:ilvl w:val="0"/>
          <w:numId w:val="3"/>
        </w:numPr>
        <w:jc w:val="left"/>
      </w:pPr>
      <w:r>
        <w:t>aus Tabellen oder Diagrammen Gehaltsangaben (in g/l oder g/cm³ bzw. in Prozent) entnehmen und interpretieren.</w:t>
      </w:r>
    </w:p>
    <w:p w14:paraId="1ED3DF98" w14:textId="77777777" w:rsidR="005D2B53" w:rsidRDefault="00EA7D30">
      <w:pPr>
        <w:jc w:val="left"/>
        <w:rPr>
          <w:b/>
          <w:bCs/>
          <w:sz w:val="22"/>
          <w:szCs w:val="24"/>
        </w:rPr>
      </w:pPr>
      <w:r>
        <w:rPr>
          <w:b/>
          <w:bCs/>
          <w:sz w:val="22"/>
          <w:szCs w:val="24"/>
        </w:rPr>
        <w:t>Biologie (fachspezifisch)</w:t>
      </w:r>
    </w:p>
    <w:p w14:paraId="41358B68" w14:textId="77777777" w:rsidR="005D2B53" w:rsidRDefault="00EA7D30">
      <w:pPr>
        <w:jc w:val="left"/>
        <w:rPr>
          <w:b/>
          <w:bCs/>
        </w:rPr>
      </w:pPr>
      <w:r>
        <w:rPr>
          <w:b/>
          <w:bCs/>
        </w:rPr>
        <w:t>Inhaltsfeld Tiere und Pflanzen im Jahresverlauf</w:t>
      </w:r>
    </w:p>
    <w:p w14:paraId="3E31EFAB" w14:textId="77777777" w:rsidR="005D2B53" w:rsidRDefault="00EA7D30">
      <w:pPr>
        <w:jc w:val="left"/>
        <w:rPr>
          <w:i/>
          <w:iCs/>
        </w:rPr>
      </w:pPr>
      <w:r>
        <w:rPr>
          <w:i/>
          <w:iCs/>
        </w:rPr>
        <w:t>Erkenntnisgewinnung</w:t>
      </w:r>
    </w:p>
    <w:p w14:paraId="1CC459A0" w14:textId="77777777" w:rsidR="005D2B53" w:rsidRDefault="00EA7D30">
      <w:pPr>
        <w:jc w:val="left"/>
      </w:pPr>
      <w:r>
        <w:t>Die Schülerinnen und Schüler können…</w:t>
      </w:r>
    </w:p>
    <w:p w14:paraId="33AF152F" w14:textId="77777777" w:rsidR="005D2B53" w:rsidRDefault="00EA7D30">
      <w:pPr>
        <w:pStyle w:val="Listenabsatz"/>
        <w:numPr>
          <w:ilvl w:val="0"/>
          <w:numId w:val="5"/>
        </w:numPr>
        <w:jc w:val="left"/>
        <w:rPr>
          <w:i/>
          <w:iCs/>
        </w:rPr>
      </w:pPr>
      <w:r>
        <w:t>experimentell nachweisen, dass bei der Fotosynthese der energiereiche Stoff Stärke nur in grünen Pflanzenteilen und bei Verfügbarkeit von Lichtenergie entsteht.</w:t>
      </w:r>
    </w:p>
    <w:p w14:paraId="5ECC7F8B" w14:textId="77777777" w:rsidR="005D2B53" w:rsidRDefault="00EA7D30">
      <w:pPr>
        <w:jc w:val="left"/>
        <w:rPr>
          <w:i/>
          <w:iCs/>
        </w:rPr>
      </w:pPr>
      <w:r>
        <w:rPr>
          <w:i/>
          <w:iCs/>
        </w:rPr>
        <w:t>Kommunikation</w:t>
      </w:r>
    </w:p>
    <w:p w14:paraId="6645DEAC" w14:textId="77777777" w:rsidR="005D2B53" w:rsidRDefault="00EA7D30">
      <w:pPr>
        <w:jc w:val="left"/>
      </w:pPr>
      <w:r>
        <w:t>Die Schülerinnen und Schüler können…</w:t>
      </w:r>
    </w:p>
    <w:p w14:paraId="217C4AE5" w14:textId="77777777" w:rsidR="005D2B53" w:rsidRDefault="00EA7D30">
      <w:pPr>
        <w:pStyle w:val="Listenabsatz"/>
        <w:numPr>
          <w:ilvl w:val="0"/>
          <w:numId w:val="2"/>
        </w:numPr>
        <w:jc w:val="left"/>
      </w:pPr>
      <w:r>
        <w:t>den Einfluss abiotischer Faktoren (u. a. auf das Pflanzenwachstum) aus einer Tabelle oder einem Diagramm entnehmen.</w:t>
      </w:r>
    </w:p>
    <w:p w14:paraId="385207F0" w14:textId="77777777" w:rsidR="005D2B53" w:rsidRDefault="00EA7D30">
      <w:pPr>
        <w:jc w:val="left"/>
        <w:rPr>
          <w:b/>
          <w:bCs/>
        </w:rPr>
      </w:pPr>
      <w:r>
        <w:rPr>
          <w:b/>
          <w:bCs/>
        </w:rPr>
        <w:t>Inhaltsfeld Ökosysteme und ihre Veränderungen</w:t>
      </w:r>
    </w:p>
    <w:p w14:paraId="3E07465F" w14:textId="77777777" w:rsidR="005D2B53" w:rsidRDefault="00EA7D30">
      <w:pPr>
        <w:jc w:val="left"/>
        <w:rPr>
          <w:i/>
          <w:iCs/>
        </w:rPr>
      </w:pPr>
      <w:r>
        <w:rPr>
          <w:i/>
          <w:iCs/>
        </w:rPr>
        <w:t>Umgang mit Fachwissen</w:t>
      </w:r>
    </w:p>
    <w:p w14:paraId="38238F97" w14:textId="77777777" w:rsidR="005D2B53" w:rsidRDefault="00EA7D30">
      <w:pPr>
        <w:jc w:val="left"/>
      </w:pPr>
      <w:r>
        <w:t>Die Schülerinnen und Schüler können…</w:t>
      </w:r>
    </w:p>
    <w:p w14:paraId="47486EF8" w14:textId="77777777" w:rsidR="005D2B53" w:rsidRDefault="00EA7D30">
      <w:pPr>
        <w:pStyle w:val="Listenabsatz"/>
        <w:numPr>
          <w:ilvl w:val="0"/>
          <w:numId w:val="2"/>
        </w:numPr>
        <w:jc w:val="left"/>
        <w:rPr>
          <w:b/>
          <w:bCs/>
        </w:rPr>
      </w:pPr>
      <w:r>
        <w:t>das Prinzip der Fotosynthese als Prozess der Umwandlung von Lichtenergie in chemisch gebundene Energie erläutern und der Zellatmung gegenüberstellen.</w:t>
      </w:r>
    </w:p>
    <w:p w14:paraId="40D5F523" w14:textId="77777777" w:rsidR="005D2B53" w:rsidRDefault="00EA7D30">
      <w:pPr>
        <w:pBdr>
          <w:bottom w:val="single" w:sz="4" w:space="1" w:color="000000"/>
        </w:pBdr>
        <w:spacing w:before="240"/>
        <w:jc w:val="left"/>
        <w:rPr>
          <w:b/>
          <w:bCs/>
          <w:sz w:val="24"/>
          <w:szCs w:val="24"/>
        </w:rPr>
      </w:pPr>
      <w:bookmarkStart w:id="0" w:name="_Hlk144972512"/>
      <w:r>
        <w:rPr>
          <w:b/>
          <w:bCs/>
          <w:sz w:val="24"/>
          <w:szCs w:val="24"/>
        </w:rPr>
        <w:t>Kernlehrplan Wahlpflichtfach Informatik Sekundarstufe I Gesamtschule/ Sekundarschule</w:t>
      </w:r>
      <w:bookmarkEnd w:id="0"/>
    </w:p>
    <w:p w14:paraId="6B2A1FC5" w14:textId="77777777" w:rsidR="005D2B53" w:rsidRDefault="00EA7D30">
      <w:pPr>
        <w:jc w:val="left"/>
        <w:rPr>
          <w:b/>
          <w:bCs/>
        </w:rPr>
      </w:pPr>
      <w:r>
        <w:rPr>
          <w:b/>
          <w:bCs/>
        </w:rPr>
        <w:t>Inhaltsfeld Algorithmen</w:t>
      </w:r>
    </w:p>
    <w:p w14:paraId="4A11C386" w14:textId="77777777" w:rsidR="005D2B53" w:rsidRDefault="00EA7D30">
      <w:pPr>
        <w:jc w:val="left"/>
      </w:pPr>
      <w:r>
        <w:t>Die Schülerinnen und Schüler</w:t>
      </w:r>
    </w:p>
    <w:p w14:paraId="2686C85E" w14:textId="77777777" w:rsidR="005D2B53" w:rsidRDefault="00EA7D30">
      <w:pPr>
        <w:pStyle w:val="Listenabsatz"/>
        <w:numPr>
          <w:ilvl w:val="0"/>
          <w:numId w:val="2"/>
        </w:numPr>
        <w:jc w:val="left"/>
      </w:pPr>
      <w:r>
        <w:t>ermitteln durch die Analyse eines Algorithmus dessen Ergebnis (MI),</w:t>
      </w:r>
    </w:p>
    <w:p w14:paraId="1BC18C14" w14:textId="77777777" w:rsidR="005D2B53" w:rsidRDefault="00EA7D30">
      <w:pPr>
        <w:pStyle w:val="Listenabsatz"/>
        <w:numPr>
          <w:ilvl w:val="0"/>
          <w:numId w:val="2"/>
        </w:numPr>
        <w:jc w:val="left"/>
      </w:pPr>
      <w:r>
        <w:t>(entwerfen und implementieren einfache Algorithmen unter Verwendung von Variablen (MI).)</w:t>
      </w:r>
    </w:p>
    <w:p w14:paraId="6B278B24" w14:textId="77777777" w:rsidR="005D2B53" w:rsidRDefault="00EA7D30">
      <w:pPr>
        <w:jc w:val="left"/>
      </w:pPr>
      <w:r>
        <w:t>MI: Modellieren und Implementieren (Kompetenzbereich)</w:t>
      </w:r>
      <w:r>
        <w:br w:type="page" w:clear="all"/>
      </w:r>
    </w:p>
    <w:p w14:paraId="6711E6E7" w14:textId="77777777" w:rsidR="005D2B53" w:rsidRDefault="005D2B53">
      <w:pPr>
        <w:jc w:val="left"/>
      </w:pPr>
    </w:p>
    <w:p w14:paraId="34D40B74" w14:textId="77777777" w:rsidR="005D2B53" w:rsidRDefault="00EA7D30">
      <w:pPr>
        <w:pBdr>
          <w:bottom w:val="single" w:sz="4" w:space="1" w:color="000000"/>
        </w:pBdr>
        <w:spacing w:before="240"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Kernlehrplan Wahlpflichtfach Informatik Sekundarstufe I Gesamtschule/ Sekundarschule</w:t>
      </w:r>
    </w:p>
    <w:p w14:paraId="45C82B52" w14:textId="77777777" w:rsidR="005D2B53" w:rsidRDefault="00EA7D30">
      <w:pPr>
        <w:jc w:val="left"/>
        <w:rPr>
          <w:b/>
          <w:bCs/>
        </w:rPr>
      </w:pPr>
      <w:r>
        <w:rPr>
          <w:b/>
          <w:bCs/>
        </w:rPr>
        <w:t>Inhaltsfeld 2: Algorithmen</w:t>
      </w:r>
    </w:p>
    <w:p w14:paraId="2B32BBE3" w14:textId="77777777" w:rsidR="005D2B53" w:rsidRDefault="00EA7D30">
      <w:pPr>
        <w:jc w:val="left"/>
      </w:pPr>
      <w:r>
        <w:t>Die Schülerinnen und Schüler</w:t>
      </w:r>
    </w:p>
    <w:p w14:paraId="545EB7CC" w14:textId="77777777" w:rsidR="005D2B53" w:rsidRDefault="00EA7D30">
      <w:pPr>
        <w:pStyle w:val="Listenabsatz"/>
        <w:numPr>
          <w:ilvl w:val="0"/>
          <w:numId w:val="6"/>
        </w:numPr>
      </w:pPr>
      <w:r>
        <w:t>reflektieren den Entwurfsprozess und beschreiben ihn auch fachsprachlich (A),</w:t>
      </w:r>
    </w:p>
    <w:p w14:paraId="50BE0020" w14:textId="77777777" w:rsidR="005D2B53" w:rsidRDefault="00EA7D30">
      <w:pPr>
        <w:pStyle w:val="Listenabsatz"/>
        <w:numPr>
          <w:ilvl w:val="0"/>
          <w:numId w:val="6"/>
        </w:numPr>
      </w:pPr>
      <w:r>
        <w:t>(implementieren und kommentieren Algorithmen in einer Programmierumgebung (MI)).</w:t>
      </w:r>
    </w:p>
    <w:p w14:paraId="24179E7F" w14:textId="77777777" w:rsidR="005D2B53" w:rsidRDefault="00EA7D30">
      <w:pPr>
        <w:jc w:val="left"/>
      </w:pPr>
      <w:r>
        <w:t>MI: Modellieren und Implementieren, A: Argumentieren (Kompetenzbereiche)</w:t>
      </w:r>
    </w:p>
    <w:p w14:paraId="392843EE" w14:textId="77777777" w:rsidR="005D2B53" w:rsidRDefault="00EA7D30">
      <w:pPr>
        <w:pBdr>
          <w:bottom w:val="single" w:sz="4" w:space="1" w:color="000000"/>
        </w:pBdr>
        <w:spacing w:before="240"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Medienkompetenzrahmen</w:t>
      </w:r>
    </w:p>
    <w:p w14:paraId="58C2DA79" w14:textId="77777777" w:rsidR="005D2B53" w:rsidRDefault="00EA7D30">
      <w:pPr>
        <w:jc w:val="left"/>
        <w:rPr>
          <w:b/>
          <w:bCs/>
        </w:rPr>
      </w:pPr>
      <w:r>
        <w:rPr>
          <w:b/>
          <w:bCs/>
        </w:rPr>
        <w:t>1. Bedienen und Anwenden</w:t>
      </w:r>
    </w:p>
    <w:p w14:paraId="46444C11" w14:textId="77777777" w:rsidR="005D2B53" w:rsidRDefault="00EA7D30">
      <w:pPr>
        <w:contextualSpacing/>
        <w:jc w:val="left"/>
        <w:rPr>
          <w:i/>
          <w:iCs/>
        </w:rPr>
      </w:pPr>
      <w:r>
        <w:rPr>
          <w:i/>
          <w:iCs/>
        </w:rPr>
        <w:t>1.1 Medienausstattung (Hardware)</w:t>
      </w:r>
    </w:p>
    <w:p w14:paraId="45270889" w14:textId="77777777" w:rsidR="005D2B53" w:rsidRDefault="00EA7D30">
      <w:pPr>
        <w:jc w:val="left"/>
      </w:pPr>
      <w:r>
        <w:t>Medienausstattung (Hardware) kennen, auswählen und reflektiert anwenden; mit dieser verantwortungsvoll umgehen</w:t>
      </w:r>
    </w:p>
    <w:p w14:paraId="057F39E1" w14:textId="77777777" w:rsidR="005D2B53" w:rsidRDefault="00EA7D30">
      <w:pPr>
        <w:contextualSpacing/>
        <w:jc w:val="left"/>
        <w:rPr>
          <w:i/>
          <w:iCs/>
        </w:rPr>
      </w:pPr>
      <w:r>
        <w:rPr>
          <w:i/>
          <w:iCs/>
        </w:rPr>
        <w:t>1.2 Digitale Werkzeuge</w:t>
      </w:r>
    </w:p>
    <w:p w14:paraId="7CDC1280" w14:textId="77777777" w:rsidR="005D2B53" w:rsidRDefault="00EA7D30">
      <w:pPr>
        <w:jc w:val="left"/>
      </w:pPr>
      <w:r>
        <w:t>Verschiedene digitale Werkzeuge und deren Funktionsumfang kennen, auswählen sowie diese kreativ, reflektiert und zielgerichtet einsetzen</w:t>
      </w:r>
    </w:p>
    <w:p w14:paraId="21BEA752" w14:textId="77777777" w:rsidR="005D2B53" w:rsidRDefault="00EA7D30">
      <w:pPr>
        <w:contextualSpacing/>
        <w:jc w:val="left"/>
        <w:rPr>
          <w:i/>
          <w:iCs/>
        </w:rPr>
      </w:pPr>
      <w:r>
        <w:rPr>
          <w:i/>
          <w:iCs/>
        </w:rPr>
        <w:t>1.3 Datenorganisation</w:t>
      </w:r>
    </w:p>
    <w:p w14:paraId="2A25C125" w14:textId="77777777" w:rsidR="005D2B53" w:rsidRDefault="00EA7D30">
      <w:pPr>
        <w:jc w:val="left"/>
      </w:pPr>
      <w:r>
        <w:t>Informationen und Daten sicher speichern, wiederfinden und von verschiedenen Orten abrufen; Informationen und Daten zusammenfassen, organisieren und strukturiert aufbewahren</w:t>
      </w:r>
    </w:p>
    <w:p w14:paraId="056F5F71" w14:textId="77777777" w:rsidR="005D2B53" w:rsidRDefault="00EA7D30">
      <w:pPr>
        <w:jc w:val="left"/>
        <w:rPr>
          <w:b/>
          <w:bCs/>
        </w:rPr>
      </w:pPr>
      <w:r>
        <w:rPr>
          <w:b/>
          <w:bCs/>
        </w:rPr>
        <w:t>4. Produzieren und Präsentieren</w:t>
      </w:r>
    </w:p>
    <w:p w14:paraId="1CAD31F8" w14:textId="77777777" w:rsidR="005D2B53" w:rsidRDefault="00EA7D30">
      <w:pPr>
        <w:contextualSpacing/>
        <w:rPr>
          <w:i/>
          <w:iCs/>
        </w:rPr>
      </w:pPr>
      <w:r>
        <w:rPr>
          <w:i/>
          <w:iCs/>
        </w:rPr>
        <w:t>4.1 Medienproduktion und Präsentation</w:t>
      </w:r>
    </w:p>
    <w:p w14:paraId="3B62A83F" w14:textId="77777777" w:rsidR="005D2B53" w:rsidRDefault="00EA7D30">
      <w:r>
        <w:t>Medienprodukte adressatengerecht planen, gestalten und präsentieren; Möglichkeiten des Veröffentlichens und Teilens kennen und nutzen</w:t>
      </w:r>
    </w:p>
    <w:p w14:paraId="52DD58B8" w14:textId="77777777" w:rsidR="005D2B53" w:rsidRDefault="00EA7D30">
      <w:pPr>
        <w:contextualSpacing/>
        <w:rPr>
          <w:i/>
          <w:iCs/>
        </w:rPr>
      </w:pPr>
      <w:r>
        <w:rPr>
          <w:i/>
          <w:iCs/>
        </w:rPr>
        <w:t>4.2 Gestaltungsmittel</w:t>
      </w:r>
    </w:p>
    <w:p w14:paraId="10A170E6" w14:textId="77777777" w:rsidR="005D2B53" w:rsidRDefault="00EA7D30">
      <w:pPr>
        <w:jc w:val="left"/>
      </w:pPr>
      <w:r>
        <w:t>Gestaltungsmittel von Medienprodukten kennen, reflektiert anwenden sowie hinsichtlich ihrer Qualität, Wirkung und Aussageabsicht beurteilen</w:t>
      </w:r>
    </w:p>
    <w:p w14:paraId="1C74EA2B" w14:textId="77777777" w:rsidR="005D2B53" w:rsidRDefault="00EA7D30">
      <w:pPr>
        <w:jc w:val="left"/>
        <w:rPr>
          <w:b/>
          <w:bCs/>
        </w:rPr>
      </w:pPr>
      <w:r>
        <w:rPr>
          <w:b/>
          <w:bCs/>
        </w:rPr>
        <w:t>6. Problemlösen und Modellieren</w:t>
      </w:r>
    </w:p>
    <w:p w14:paraId="4C483974" w14:textId="77777777" w:rsidR="005D2B53" w:rsidRDefault="00EA7D30">
      <w:pPr>
        <w:contextualSpacing/>
        <w:jc w:val="left"/>
        <w:rPr>
          <w:i/>
          <w:iCs/>
        </w:rPr>
      </w:pPr>
      <w:r>
        <w:rPr>
          <w:i/>
          <w:iCs/>
        </w:rPr>
        <w:t>6.1 Prinzipien der digitalen Welt</w:t>
      </w:r>
    </w:p>
    <w:p w14:paraId="09D0FC13" w14:textId="77777777" w:rsidR="005D2B53" w:rsidRDefault="00EA7D30">
      <w:pPr>
        <w:jc w:val="left"/>
      </w:pPr>
      <w:r>
        <w:t>Grundlegende Prinzipien und Funktionsweisen der digitalen Welt identifizieren, kennen, verstehen und bewusst nutzen</w:t>
      </w:r>
    </w:p>
    <w:p w14:paraId="31630BB7" w14:textId="77777777" w:rsidR="005D2B53" w:rsidRDefault="00EA7D30">
      <w:pPr>
        <w:contextualSpacing/>
        <w:jc w:val="left"/>
        <w:rPr>
          <w:i/>
          <w:iCs/>
        </w:rPr>
      </w:pPr>
      <w:r>
        <w:rPr>
          <w:i/>
          <w:iCs/>
        </w:rPr>
        <w:t>6.2 Algorithmen erkennen</w:t>
      </w:r>
    </w:p>
    <w:p w14:paraId="17438DC1" w14:textId="77777777" w:rsidR="005D2B53" w:rsidRDefault="00EA7D30">
      <w:pPr>
        <w:jc w:val="left"/>
        <w:sectPr w:rsidR="005D2B53">
          <w:headerReference w:type="default" r:id="rId13"/>
          <w:footerReference w:type="default" r:id="rId14"/>
          <w:pgSz w:w="11906" w:h="16838"/>
          <w:pgMar w:top="1440" w:right="1440" w:bottom="1440" w:left="1440" w:header="708" w:footer="708" w:gutter="0"/>
          <w:pgNumType w:fmt="upperRoman"/>
          <w:cols w:space="708"/>
        </w:sectPr>
      </w:pPr>
      <w:r>
        <w:t>Algorithmische Muster und Strukturen in verschiedenen Kontexten erkennen, nachvollziehen und reflektieren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4678"/>
        <w:gridCol w:w="4382"/>
      </w:tblGrid>
      <w:tr w:rsidR="005D2B53" w14:paraId="5B0C7B4A" w14:textId="77777777">
        <w:tc>
          <w:tcPr>
            <w:tcW w:w="4678" w:type="dxa"/>
          </w:tcPr>
          <w:p w14:paraId="074E99DE" w14:textId="77777777" w:rsidR="005D2B53" w:rsidRDefault="00EA7D30">
            <w:pPr>
              <w:spacing w:before="0" w:after="0" w:line="260" w:lineRule="exact"/>
              <w:jc w:val="left"/>
              <w:rPr>
                <w:rFonts w:ascii="Kantumruy Pro SemiBold" w:eastAsia="Kantumruy Pro" w:hAnsi="Kantumruy Pro SemiBold" w:cs="Times New Roman"/>
                <w:color w:val="202334"/>
                <w:sz w:val="18"/>
                <w14:ligatures w14:val="standardContextual"/>
              </w:rPr>
            </w:pPr>
            <w:r>
              <w:rPr>
                <w:rFonts w:ascii="Kantumruy Pro SemiBold" w:eastAsia="Kantumruy Pro" w:hAnsi="Kantumruy Pro SemiBold" w:cs="Times New Roman"/>
                <w:color w:val="202334"/>
                <w:sz w:val="18"/>
                <w14:ligatures w14:val="standardContextual"/>
              </w:rPr>
              <w:lastRenderedPageBreak/>
              <w:t>Erschienen im</w:t>
            </w:r>
          </w:p>
          <w:p w14:paraId="6D718FD2" w14:textId="77777777" w:rsidR="005D2B53" w:rsidRDefault="00EA7D30">
            <w:pPr>
              <w:spacing w:before="0" w:after="0" w:line="260" w:lineRule="exact"/>
              <w:jc w:val="left"/>
              <w:rPr>
                <w:rFonts w:ascii="Kantumruy Pro" w:eastAsia="Kantumruy Pro" w:hAnsi="Kantumruy Pro" w:cs="Times New Roman"/>
                <w:color w:val="202334"/>
                <w:sz w:val="18"/>
                <w14:ligatures w14:val="standardContextual"/>
              </w:rPr>
            </w:pPr>
            <w:r>
              <w:rPr>
                <w:rFonts w:ascii="Kantumruy Pro" w:eastAsia="Kantumruy Pro" w:hAnsi="Kantumruy Pro" w:cs="Times New Roman"/>
                <w:color w:val="202334"/>
                <w:sz w:val="18"/>
                <w14:ligatures w14:val="standardContextual"/>
              </w:rPr>
              <w:t xml:space="preserve">Kompetenzverbund </w:t>
            </w:r>
            <w:proofErr w:type="spellStart"/>
            <w:proofErr w:type="gramStart"/>
            <w:r>
              <w:rPr>
                <w:rFonts w:ascii="Kantumruy Pro" w:eastAsia="Kantumruy Pro" w:hAnsi="Kantumruy Pro" w:cs="Times New Roman"/>
                <w:color w:val="202334"/>
                <w:sz w:val="18"/>
                <w14:ligatures w14:val="standardContextual"/>
              </w:rPr>
              <w:t>lernen:digital</w:t>
            </w:r>
            <w:proofErr w:type="spellEnd"/>
            <w:proofErr w:type="gramEnd"/>
          </w:p>
          <w:p w14:paraId="38A751A4" w14:textId="77777777" w:rsidR="005D2B53" w:rsidRDefault="00EA7D30">
            <w:pPr>
              <w:spacing w:before="0" w:after="0" w:line="260" w:lineRule="exact"/>
              <w:jc w:val="left"/>
              <w:rPr>
                <w:rFonts w:ascii="Kantumruy Pro" w:eastAsia="Kantumruy Pro" w:hAnsi="Kantumruy Pro" w:cs="Times New Roman"/>
                <w:color w:val="202334"/>
                <w:sz w:val="18"/>
                <w14:ligatures w14:val="standardContextual"/>
              </w:rPr>
            </w:pPr>
            <w:r>
              <w:rPr>
                <w:rFonts w:ascii="Kantumruy Pro" w:eastAsia="Kantumruy Pro" w:hAnsi="Kantumruy Pro" w:cs="Times New Roman"/>
                <w:color w:val="202334"/>
                <w:sz w:val="18"/>
                <w14:ligatures w14:val="standardContextual"/>
              </w:rPr>
              <w:t>Marlene-Dietrich-Allee 16, 14482 Potsdam</w:t>
            </w:r>
          </w:p>
          <w:p w14:paraId="05F3DF37" w14:textId="77777777" w:rsidR="005D2B53" w:rsidRDefault="00EA7D30">
            <w:pPr>
              <w:spacing w:before="0" w:after="0" w:line="260" w:lineRule="exact"/>
              <w:jc w:val="left"/>
              <w:rPr>
                <w:rFonts w:ascii="Kantumruy Pro" w:eastAsia="Kantumruy Pro" w:hAnsi="Kantumruy Pro" w:cs="Times New Roman"/>
                <w:color w:val="202334"/>
                <w:sz w:val="18"/>
                <w14:ligatures w14:val="standardContextual"/>
              </w:rPr>
            </w:pPr>
            <w:r>
              <w:rPr>
                <w:rFonts w:ascii="Kantumruy Pro" w:eastAsia="Kantumruy Pro" w:hAnsi="Kantumruy Pro" w:cs="Times New Roman"/>
                <w:color w:val="202334"/>
                <w:sz w:val="18"/>
                <w14:ligatures w14:val="standardContextual"/>
              </w:rPr>
              <w:t>Tel: 0331-977-256362</w:t>
            </w:r>
          </w:p>
          <w:p w14:paraId="77C70443" w14:textId="77777777" w:rsidR="005D2B53" w:rsidRDefault="00EA7D30">
            <w:pPr>
              <w:spacing w:before="0" w:after="0" w:line="260" w:lineRule="exact"/>
              <w:jc w:val="left"/>
              <w:rPr>
                <w:rFonts w:ascii="Kantumruy Pro" w:eastAsia="Kantumruy Pro" w:hAnsi="Kantumruy Pro" w:cs="Times New Roman"/>
                <w:color w:val="202334"/>
                <w:sz w:val="18"/>
                <w14:ligatures w14:val="standardContextual"/>
              </w:rPr>
            </w:pPr>
            <w:r>
              <w:rPr>
                <w:rFonts w:ascii="Kantumruy Pro" w:eastAsia="Kantumruy Pro" w:hAnsi="Kantumruy Pro" w:cs="Times New Roman"/>
                <w:color w:val="202334"/>
                <w:sz w:val="18"/>
                <w14:ligatures w14:val="standardContextual"/>
              </w:rPr>
              <w:t xml:space="preserve">E-Mail: </w:t>
            </w:r>
            <w:proofErr w:type="spellStart"/>
            <w:r>
              <w:rPr>
                <w:rFonts w:ascii="Kantumruy Pro" w:eastAsia="Kantumruy Pro" w:hAnsi="Kantumruy Pro" w:cs="Times New Roman"/>
                <w:color w:val="202334"/>
                <w:sz w:val="18"/>
                <w14:ligatures w14:val="standardContextual"/>
              </w:rPr>
              <w:t>geschaeftsstelle@lernen.digital</w:t>
            </w:r>
            <w:proofErr w:type="spellEnd"/>
            <w:r>
              <w:rPr>
                <w:rFonts w:ascii="Kantumruy Pro" w:eastAsia="Kantumruy Pro" w:hAnsi="Kantumruy Pro" w:cs="Times New Roman"/>
                <w:color w:val="202334"/>
                <w:sz w:val="18"/>
                <w14:ligatures w14:val="standardContextual"/>
              </w:rPr>
              <w:t>]</w:t>
            </w:r>
          </w:p>
          <w:p w14:paraId="28FB82E4" w14:textId="77777777" w:rsidR="005D2B53" w:rsidRDefault="005D2B53">
            <w:pPr>
              <w:spacing w:before="0" w:after="0" w:line="260" w:lineRule="exact"/>
              <w:jc w:val="left"/>
              <w:rPr>
                <w:rFonts w:ascii="Kantumruy Pro" w:eastAsia="Kantumruy Pro" w:hAnsi="Kantumruy Pro" w:cs="Times New Roman"/>
                <w:color w:val="202334"/>
                <w:sz w:val="18"/>
                <w14:ligatures w14:val="standardContextual"/>
              </w:rPr>
            </w:pPr>
          </w:p>
          <w:p w14:paraId="53D924BE" w14:textId="77777777" w:rsidR="005D2B53" w:rsidRDefault="00EA7D30">
            <w:pPr>
              <w:spacing w:before="0" w:after="0" w:line="260" w:lineRule="exact"/>
              <w:jc w:val="left"/>
              <w:rPr>
                <w:rFonts w:ascii="Kantumruy Pro SemiBold" w:eastAsia="Kantumruy Pro" w:hAnsi="Kantumruy Pro SemiBold" w:cs="Times New Roman"/>
                <w:color w:val="202334"/>
                <w:sz w:val="18"/>
                <w14:ligatures w14:val="standardContextual"/>
              </w:rPr>
            </w:pPr>
            <w:r>
              <w:rPr>
                <w:rFonts w:ascii="Kantumruy Pro SemiBold" w:eastAsia="Kantumruy Pro" w:hAnsi="Kantumruy Pro SemiBold" w:cs="Times New Roman"/>
                <w:color w:val="202334"/>
                <w:sz w:val="18"/>
                <w14:ligatures w14:val="standardContextual"/>
              </w:rPr>
              <w:t>Projektverbund</w:t>
            </w:r>
          </w:p>
          <w:p w14:paraId="4C63648A" w14:textId="77777777" w:rsidR="005D2B53" w:rsidRDefault="00EA7D30">
            <w:pPr>
              <w:spacing w:before="0" w:after="0" w:line="260" w:lineRule="exact"/>
              <w:jc w:val="left"/>
              <w:rPr>
                <w:rFonts w:ascii="Kantumruy Pro" w:eastAsia="Kantumruy Pro" w:hAnsi="Kantumruy Pro" w:cs="Times New Roman"/>
                <w:color w:val="202334"/>
                <w:sz w:val="18"/>
                <w14:ligatures w14:val="standardContextual"/>
              </w:rPr>
            </w:pPr>
            <w:r>
              <w:rPr>
                <w:rFonts w:ascii="Kantumruy Pro" w:eastAsia="Kantumruy Pro" w:hAnsi="Kantumruy Pro" w:cs="Times New Roman"/>
                <w:color w:val="202334"/>
                <w:sz w:val="18"/>
                <w14:ligatures w14:val="standardContextual"/>
              </w:rPr>
              <w:t>D4MINT</w:t>
            </w:r>
          </w:p>
          <w:p w14:paraId="1C14E1F8" w14:textId="77777777" w:rsidR="005D2B53" w:rsidRDefault="005D2B53">
            <w:pPr>
              <w:spacing w:before="0" w:after="0" w:line="260" w:lineRule="exact"/>
              <w:jc w:val="left"/>
              <w:rPr>
                <w:rFonts w:ascii="Kantumruy Pro" w:eastAsia="Kantumruy Pro" w:hAnsi="Kantumruy Pro" w:cs="Times New Roman"/>
                <w:color w:val="202334"/>
                <w:sz w:val="18"/>
                <w14:ligatures w14:val="standardContextual"/>
              </w:rPr>
            </w:pPr>
          </w:p>
          <w:p w14:paraId="682DA6C8" w14:textId="77777777" w:rsidR="005D2B53" w:rsidRDefault="00EA7D30">
            <w:pPr>
              <w:spacing w:before="0" w:after="0" w:line="260" w:lineRule="exact"/>
              <w:jc w:val="left"/>
              <w:rPr>
                <w:rFonts w:ascii="Kantumruy Pro SemiBold" w:eastAsia="Kantumruy Pro" w:hAnsi="Kantumruy Pro SemiBold" w:cs="Times New Roman"/>
                <w:color w:val="202334"/>
                <w:sz w:val="18"/>
                <w14:ligatures w14:val="standardContextual"/>
              </w:rPr>
            </w:pPr>
            <w:r>
              <w:rPr>
                <w:rFonts w:ascii="Kantumruy Pro SemiBold" w:eastAsia="Kantumruy Pro" w:hAnsi="Kantumruy Pro SemiBold" w:cs="Times New Roman"/>
                <w:color w:val="202334"/>
                <w:sz w:val="18"/>
                <w14:ligatures w14:val="standardContextual"/>
              </w:rPr>
              <w:t>Datum der Erstveröffentlichung</w:t>
            </w:r>
          </w:p>
          <w:p w14:paraId="3A642FA2" w14:textId="77777777" w:rsidR="005D2B53" w:rsidRDefault="00EA7D30">
            <w:pPr>
              <w:spacing w:before="0" w:after="0" w:line="260" w:lineRule="exact"/>
              <w:jc w:val="left"/>
              <w:rPr>
                <w:rFonts w:ascii="Kantumruy Pro" w:eastAsia="Kantumruy Pro" w:hAnsi="Kantumruy Pro" w:cs="Times New Roman"/>
                <w:color w:val="202334"/>
                <w:sz w:val="18"/>
                <w14:ligatures w14:val="standardContextual"/>
              </w:rPr>
            </w:pPr>
            <w:r>
              <w:rPr>
                <w:rFonts w:ascii="Kantumruy Pro" w:eastAsia="Kantumruy Pro" w:hAnsi="Kantumruy Pro" w:cs="Times New Roman"/>
                <w:color w:val="202334"/>
                <w:sz w:val="18"/>
                <w14:ligatures w14:val="standardContextual"/>
              </w:rPr>
              <w:t>30.09.2025</w:t>
            </w:r>
          </w:p>
          <w:p w14:paraId="30841FB0" w14:textId="77777777" w:rsidR="005D2B53" w:rsidRDefault="005D2B53">
            <w:pPr>
              <w:spacing w:before="0" w:after="0" w:line="260" w:lineRule="exact"/>
              <w:jc w:val="left"/>
              <w:rPr>
                <w:rFonts w:ascii="Kantumruy Pro" w:eastAsia="Kantumruy Pro" w:hAnsi="Kantumruy Pro" w:cs="Times New Roman"/>
                <w:color w:val="202334"/>
                <w:sz w:val="18"/>
                <w14:ligatures w14:val="standardContextual"/>
              </w:rPr>
            </w:pPr>
          </w:p>
          <w:p w14:paraId="57C06180" w14:textId="77777777" w:rsidR="005D2B53" w:rsidRDefault="00EA7D30">
            <w:pPr>
              <w:spacing w:before="0" w:after="0" w:line="260" w:lineRule="exact"/>
              <w:jc w:val="left"/>
              <w:rPr>
                <w:rFonts w:ascii="Kantumruy Pro" w:eastAsia="Kantumruy Pro" w:hAnsi="Kantumruy Pro" w:cs="Times New Roman"/>
                <w:b/>
                <w:bCs/>
                <w:color w:val="202334"/>
                <w:sz w:val="18"/>
                <w14:ligatures w14:val="standardContextual"/>
              </w:rPr>
            </w:pPr>
            <w:proofErr w:type="spellStart"/>
            <w:proofErr w:type="gramStart"/>
            <w:r>
              <w:rPr>
                <w:rFonts w:ascii="Kantumruy Pro" w:eastAsia="Kantumruy Pro" w:hAnsi="Kantumruy Pro" w:cs="Times New Roman"/>
                <w:b/>
                <w:bCs/>
                <w:color w:val="202334"/>
                <w:sz w:val="18"/>
                <w14:ligatures w14:val="standardContextual"/>
              </w:rPr>
              <w:t>Autor:innen</w:t>
            </w:r>
            <w:proofErr w:type="spellEnd"/>
            <w:proofErr w:type="gramEnd"/>
          </w:p>
          <w:p w14:paraId="0A695F0B" w14:textId="67FEEF68" w:rsidR="005D2B53" w:rsidRDefault="00C00FC0">
            <w:pPr>
              <w:spacing w:before="0" w:after="0" w:line="260" w:lineRule="exact"/>
              <w:jc w:val="left"/>
              <w:rPr>
                <w:rFonts w:ascii="Kantumruy Pro" w:eastAsia="Kantumruy Pro" w:hAnsi="Kantumruy Pro" w:cs="Times New Roman"/>
                <w:color w:val="202334"/>
                <w:sz w:val="18"/>
                <w14:ligatures w14:val="standardContextual"/>
              </w:rPr>
            </w:pPr>
            <w:r>
              <w:rPr>
                <w:rFonts w:ascii="Kantumruy Pro" w:eastAsia="Kantumruy Pro" w:hAnsi="Kantumruy Pro" w:cs="Times New Roman"/>
                <w:color w:val="202334"/>
                <w:sz w:val="18"/>
                <w14:ligatures w14:val="standardContextual"/>
              </w:rPr>
              <w:t xml:space="preserve">Wolff, Pia; </w:t>
            </w:r>
            <w:r w:rsidR="00EA7D30">
              <w:rPr>
                <w:rFonts w:ascii="Kantumruy Pro" w:eastAsia="Kantumruy Pro" w:hAnsi="Kantumruy Pro" w:cs="Times New Roman"/>
                <w:color w:val="202334"/>
                <w:sz w:val="18"/>
                <w14:ligatures w14:val="standardContextual"/>
              </w:rPr>
              <w:t xml:space="preserve">Scheu, Larissa; Quast, Daria; </w:t>
            </w:r>
            <w:r w:rsidR="00C96FD9">
              <w:rPr>
                <w:rFonts w:ascii="Kantumruy Pro" w:eastAsia="Kantumruy Pro" w:hAnsi="Kantumruy Pro" w:cs="Times New Roman"/>
                <w:color w:val="202334"/>
                <w:sz w:val="18"/>
                <w14:ligatures w14:val="standardContextual"/>
              </w:rPr>
              <w:t>Kern</w:t>
            </w:r>
            <w:r w:rsidR="00EA7D30">
              <w:rPr>
                <w:rFonts w:ascii="Kantumruy Pro" w:eastAsia="Kantumruy Pro" w:hAnsi="Kantumruy Pro" w:cs="Times New Roman"/>
                <w:color w:val="202334"/>
                <w:sz w:val="18"/>
                <w14:ligatures w14:val="standardContextual"/>
              </w:rPr>
              <w:t>, Isabell; Helf, Philip</w:t>
            </w:r>
            <w:r>
              <w:rPr>
                <w:rFonts w:ascii="Kantumruy Pro" w:eastAsia="Kantumruy Pro" w:hAnsi="Kantumruy Pro" w:cs="Times New Roman"/>
                <w:color w:val="202334"/>
                <w:sz w:val="18"/>
                <w14:ligatures w14:val="standardContextual"/>
              </w:rPr>
              <w:t>;</w:t>
            </w:r>
            <w:r w:rsidR="00EA7D30">
              <w:rPr>
                <w:rFonts w:ascii="Kantumruy Pro" w:eastAsia="Kantumruy Pro" w:hAnsi="Kantumruy Pro" w:cs="Times New Roman"/>
                <w:color w:val="202334"/>
                <w:sz w:val="18"/>
                <w14:ligatures w14:val="standardContextual"/>
              </w:rPr>
              <w:t xml:space="preserve"> van dem Brink, Malte</w:t>
            </w:r>
            <w:r>
              <w:rPr>
                <w:rFonts w:ascii="Kantumruy Pro" w:eastAsia="Kantumruy Pro" w:hAnsi="Kantumruy Pro" w:cs="Times New Roman"/>
                <w:color w:val="202334"/>
                <w:sz w:val="18"/>
                <w14:ligatures w14:val="standardContextual"/>
              </w:rPr>
              <w:t>; Lorke, Julia;</w:t>
            </w:r>
          </w:p>
        </w:tc>
        <w:tc>
          <w:tcPr>
            <w:tcW w:w="4382" w:type="dxa"/>
          </w:tcPr>
          <w:p w14:paraId="076FDFEC" w14:textId="77777777" w:rsidR="005D2B53" w:rsidRDefault="00EA7D30">
            <w:pPr>
              <w:spacing w:before="0" w:after="0" w:line="260" w:lineRule="exact"/>
              <w:jc w:val="left"/>
              <w:rPr>
                <w:rFonts w:ascii="Kantumruy Pro SemiBold" w:eastAsia="Kantumruy Pro" w:hAnsi="Kantumruy Pro SemiBold" w:cs="Times New Roman"/>
                <w:color w:val="202334"/>
                <w:sz w:val="18"/>
                <w14:ligatures w14:val="standardContextual"/>
              </w:rPr>
            </w:pPr>
            <w:r>
              <w:rPr>
                <w:rFonts w:ascii="Kantumruy Pro SemiBold" w:eastAsia="Kantumruy Pro" w:hAnsi="Kantumruy Pro SemiBold" w:cs="Times New Roman"/>
                <w:color w:val="202334"/>
                <w:sz w:val="18"/>
                <w14:ligatures w14:val="standardContextual"/>
              </w:rPr>
              <w:t>Zitierhinweis</w:t>
            </w:r>
          </w:p>
          <w:p w14:paraId="69EE19AD" w14:textId="402A8A5D" w:rsidR="005D2B53" w:rsidRDefault="00EA7D30">
            <w:pPr>
              <w:spacing w:before="0" w:after="0" w:line="260" w:lineRule="exact"/>
              <w:jc w:val="left"/>
              <w:rPr>
                <w:rFonts w:ascii="Kantumruy Pro" w:eastAsia="Kantumruy Pro" w:hAnsi="Kantumruy Pro" w:cs="Times New Roman"/>
                <w:color w:val="202334"/>
                <w:sz w:val="18"/>
                <w14:ligatures w14:val="standardContextual"/>
              </w:rPr>
            </w:pPr>
            <w:r>
              <w:rPr>
                <w:rFonts w:ascii="Kantumruy Pro" w:eastAsia="Kantumruy Pro" w:hAnsi="Kantumruy Pro" w:cs="Times New Roman"/>
                <w:color w:val="202334"/>
                <w:sz w:val="18"/>
                <w14:ligatures w14:val="standardContextual"/>
              </w:rPr>
              <w:t>[</w:t>
            </w:r>
            <w:r w:rsidR="005326E3">
              <w:rPr>
                <w:rFonts w:ascii="Kantumruy Pro" w:eastAsia="Kantumruy Pro" w:hAnsi="Kantumruy Pro" w:cs="Times New Roman"/>
                <w:color w:val="202334"/>
                <w:sz w:val="18"/>
                <w14:ligatures w14:val="standardContextual"/>
              </w:rPr>
              <w:t>Wolff,</w:t>
            </w:r>
            <w:r>
              <w:rPr>
                <w:rFonts w:ascii="Kantumruy Pro" w:eastAsia="Kantumruy Pro" w:hAnsi="Kantumruy Pro" w:cs="Times New Roman"/>
                <w:color w:val="202334"/>
                <w:sz w:val="18"/>
                <w14:ligatures w14:val="standardContextual"/>
              </w:rPr>
              <w:t xml:space="preserve"> </w:t>
            </w:r>
            <w:r w:rsidR="005326E3">
              <w:rPr>
                <w:rFonts w:ascii="Kantumruy Pro" w:eastAsia="Kantumruy Pro" w:hAnsi="Kantumruy Pro" w:cs="Times New Roman"/>
                <w:color w:val="202334"/>
                <w:sz w:val="18"/>
                <w14:ligatures w14:val="standardContextual"/>
              </w:rPr>
              <w:t>P</w:t>
            </w:r>
            <w:r>
              <w:rPr>
                <w:rFonts w:ascii="Kantumruy Pro" w:eastAsia="Kantumruy Pro" w:hAnsi="Kantumruy Pro" w:cs="Times New Roman"/>
                <w:color w:val="202334"/>
                <w:sz w:val="18"/>
                <w14:ligatures w14:val="standardContextual"/>
              </w:rPr>
              <w:t xml:space="preserve">. et al. (2025). Zuordnung_KLP_MKR_Sek1 </w:t>
            </w:r>
            <w:hyperlink r:id="rId15" w:tooltip="https://d4mint.de/angebote-fuer-fortbildende/" w:history="1">
              <w:r>
                <w:rPr>
                  <w:rStyle w:val="Hyperlink"/>
                  <w:rFonts w:ascii="Kantumruy Pro" w:eastAsia="Kantumruy Pro" w:hAnsi="Kantumruy Pro" w:cs="Times New Roman"/>
                  <w:sz w:val="18"/>
                  <w14:ligatures w14:val="standardContextual"/>
                </w:rPr>
                <w:t>https://d4mint.de/angebote-fuer-fortbildende/</w:t>
              </w:r>
            </w:hyperlink>
            <w:r>
              <w:rPr>
                <w:rFonts w:ascii="Kantumruy Pro" w:eastAsia="Kantumruy Pro" w:hAnsi="Kantumruy Pro" w:cs="Times New Roman"/>
                <w:color w:val="202334"/>
                <w:sz w:val="18"/>
                <w14:ligatures w14:val="standardContextual"/>
              </w:rPr>
              <w:t xml:space="preserve"> </w:t>
            </w:r>
            <w:r>
              <w:rPr>
                <w:rFonts w:ascii="Kantumruy Pro" w:eastAsia="Kantumruy Pro" w:hAnsi="Kantumruy Pro" w:cs="Times New Roman"/>
                <w:color w:val="202334"/>
                <w:sz w:val="18"/>
                <w14:ligatures w14:val="standardContextual"/>
              </w:rPr>
              <w:br/>
            </w:r>
            <w:r>
              <w:rPr>
                <w:rFonts w:ascii="Kantumruy Pro" w:eastAsia="Kantumruy Pro" w:hAnsi="Kantumruy Pro" w:cs="Times New Roman"/>
                <w:color w:val="202334"/>
                <w:sz w:val="18"/>
                <w14:ligatures w14:val="standardContextual"/>
              </w:rPr>
              <w:br/>
            </w:r>
          </w:p>
          <w:p w14:paraId="6E5C03D9" w14:textId="77777777" w:rsidR="005D2B53" w:rsidRDefault="005D2B53">
            <w:pPr>
              <w:spacing w:before="0" w:after="0" w:line="260" w:lineRule="exact"/>
              <w:jc w:val="left"/>
              <w:rPr>
                <w:rFonts w:ascii="Kantumruy Pro" w:eastAsia="Kantumruy Pro" w:hAnsi="Kantumruy Pro" w:cs="Times New Roman"/>
                <w:color w:val="202334"/>
                <w:sz w:val="18"/>
                <w14:ligatures w14:val="standardContextual"/>
              </w:rPr>
            </w:pPr>
          </w:p>
        </w:tc>
      </w:tr>
    </w:tbl>
    <w:p w14:paraId="08E2AF9C" w14:textId="77777777" w:rsidR="005D2B53" w:rsidRDefault="005D2B53">
      <w:pPr>
        <w:spacing w:before="0" w:after="0" w:line="260" w:lineRule="exact"/>
        <w:jc w:val="left"/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</w:pPr>
    </w:p>
    <w:p w14:paraId="7B77B275" w14:textId="77777777" w:rsidR="005D2B53" w:rsidRDefault="005D2B53">
      <w:pPr>
        <w:spacing w:before="0" w:after="0" w:line="260" w:lineRule="exact"/>
        <w:jc w:val="left"/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</w:pPr>
    </w:p>
    <w:p w14:paraId="3A063AF3" w14:textId="77777777" w:rsidR="005D2B53" w:rsidRDefault="005D2B53">
      <w:pPr>
        <w:spacing w:before="0" w:after="0" w:line="260" w:lineRule="exact"/>
        <w:jc w:val="left"/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</w:pPr>
    </w:p>
    <w:p w14:paraId="1C104D47" w14:textId="77777777" w:rsidR="005D2B53" w:rsidRDefault="00EA7D30">
      <w:pPr>
        <w:tabs>
          <w:tab w:val="left" w:pos="3618"/>
        </w:tabs>
        <w:spacing w:before="0" w:after="0" w:line="260" w:lineRule="exact"/>
        <w:jc w:val="left"/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</w:pPr>
      <w:r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  <w:tab/>
      </w:r>
    </w:p>
    <w:p w14:paraId="38715DD5" w14:textId="77777777" w:rsidR="005D2B53" w:rsidRDefault="005D2B53">
      <w:pPr>
        <w:spacing w:before="0" w:after="0" w:line="260" w:lineRule="exact"/>
        <w:jc w:val="left"/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</w:pPr>
    </w:p>
    <w:p w14:paraId="70298154" w14:textId="77777777" w:rsidR="005D2B53" w:rsidRDefault="005D2B53">
      <w:pPr>
        <w:spacing w:before="0" w:after="0" w:line="260" w:lineRule="exact"/>
        <w:jc w:val="left"/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</w:pPr>
    </w:p>
    <w:p w14:paraId="03536244" w14:textId="77777777" w:rsidR="005D2B53" w:rsidRDefault="005D2B53">
      <w:pPr>
        <w:spacing w:before="0" w:after="0" w:line="260" w:lineRule="exact"/>
        <w:jc w:val="left"/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</w:pPr>
    </w:p>
    <w:p w14:paraId="30ED69CD" w14:textId="77777777" w:rsidR="005D2B53" w:rsidRDefault="005D2B53">
      <w:pPr>
        <w:spacing w:before="0" w:after="0" w:line="260" w:lineRule="exact"/>
        <w:jc w:val="left"/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</w:pPr>
    </w:p>
    <w:p w14:paraId="1F009F90" w14:textId="77777777" w:rsidR="005D2B53" w:rsidRDefault="00EA7D30">
      <w:pPr>
        <w:spacing w:before="0" w:after="0" w:line="260" w:lineRule="exact"/>
        <w:jc w:val="left"/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</w:pPr>
      <w:r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  <w:t xml:space="preserve">Die vorliegende Veröffentlichung ist im Rahmen des Projektverbunds [D4MINT] für das Kompetenzzentrum [MINT] im Kompetenzverbund </w:t>
      </w:r>
      <w:proofErr w:type="spellStart"/>
      <w:proofErr w:type="gramStart"/>
      <w:r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  <w:t>lernen:digital</w:t>
      </w:r>
      <w:proofErr w:type="spellEnd"/>
      <w:proofErr w:type="gramEnd"/>
      <w:r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  <w:t xml:space="preserve"> entstanden. </w:t>
      </w:r>
    </w:p>
    <w:p w14:paraId="75F629BB" w14:textId="77777777" w:rsidR="005D2B53" w:rsidRDefault="005D2B53">
      <w:pPr>
        <w:spacing w:before="0" w:after="0" w:line="260" w:lineRule="exact"/>
        <w:jc w:val="left"/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</w:pPr>
    </w:p>
    <w:p w14:paraId="7FABE3A4" w14:textId="77777777" w:rsidR="005D2B53" w:rsidRDefault="00EA7D30">
      <w:pPr>
        <w:spacing w:before="0" w:after="0" w:line="260" w:lineRule="exact"/>
        <w:jc w:val="left"/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</w:pPr>
      <w:r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  <w:t xml:space="preserve">Finanziert durch die Europäische Union – 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  <w:t>NextGenerationEU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  <w:t xml:space="preserve"> und gefördert durch das Bundesministerium 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  <w:t>für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  <w:t xml:space="preserve"> Bildung und Forschung. Die geäußerten Ansichten und Meinungen sind ausschließlich der Autor*innen und spiegeln nicht unbedingt die Ansichten der Europäischen Union, Europäischen Kommission oder des Bundesministeriums 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  <w:t>für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  <w:t xml:space="preserve"> Bildung und Forschung wider. Weder Europäische Union, Europäische Kommission noch das Bundesministerium 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  <w:t>für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  <w:t xml:space="preserve"> Bildung und Forschung können </w:t>
      </w:r>
      <w:proofErr w:type="spellStart"/>
      <w:r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  <w:t>für</w:t>
      </w:r>
      <w:proofErr w:type="spellEnd"/>
      <w:r>
        <w:rPr>
          <w:rFonts w:ascii="Kantumruy Pro" w:eastAsia="Kantumruy Pro" w:hAnsi="Kantumruy Pro" w:cs="Times New Roman"/>
          <w:color w:val="202334"/>
          <w:sz w:val="18"/>
          <w14:ligatures w14:val="standardContextual"/>
        </w:rPr>
        <w:t xml:space="preserve"> sie verantwortlich gemacht werden.</w:t>
      </w:r>
    </w:p>
    <w:p w14:paraId="0048FC66" w14:textId="77777777" w:rsidR="005D2B53" w:rsidRDefault="005D2B53">
      <w:pPr>
        <w:jc w:val="left"/>
      </w:pPr>
    </w:p>
    <w:sectPr w:rsidR="005D2B53">
      <w:headerReference w:type="default" r:id="rId16"/>
      <w:footerReference w:type="default" r:id="rId17"/>
      <w:pgSz w:w="11906" w:h="16838"/>
      <w:pgMar w:top="3345" w:right="1418" w:bottom="4253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26896" w14:textId="77777777" w:rsidR="00D13A8C" w:rsidRDefault="00D13A8C">
      <w:pPr>
        <w:spacing w:before="0" w:after="0" w:line="240" w:lineRule="auto"/>
      </w:pPr>
      <w:r>
        <w:separator/>
      </w:r>
    </w:p>
  </w:endnote>
  <w:endnote w:type="continuationSeparator" w:id="0">
    <w:p w14:paraId="527239EB" w14:textId="77777777" w:rsidR="00D13A8C" w:rsidRDefault="00D13A8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antumruy Pro">
    <w:altName w:val="Calibri"/>
    <w:charset w:val="00"/>
    <w:family w:val="auto"/>
    <w:pitch w:val="default"/>
  </w:font>
  <w:font w:name="Kantumruy Pro SemiBold">
    <w:altName w:val="Calibri"/>
    <w:charset w:val="00"/>
    <w:family w:val="auto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B4438" w14:textId="77777777" w:rsidR="00DF4748" w:rsidRDefault="00DF474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E004D" w14:textId="7318DA0F" w:rsidR="005D2B53" w:rsidRDefault="00EA7D30">
    <w:pPr>
      <w:framePr w:w="9072" w:h="981" w:hRule="exact" w:hSpace="142" w:wrap="around" w:vAnchor="page" w:hAnchor="page" w:x="1419" w:y="13671"/>
      <w:spacing w:before="0" w:after="0" w:line="240" w:lineRule="exact"/>
      <w:jc w:val="left"/>
      <w:rPr>
        <w:rFonts w:ascii="Kantumruy Pro" w:eastAsia="Kantumruy Pro" w:hAnsi="Kantumruy Pro" w:cs="Times New Roman"/>
        <w:color w:val="202334"/>
        <w:sz w:val="18"/>
        <w14:ligatures w14:val="standardContextual"/>
      </w:rPr>
    </w:pPr>
    <w:r>
      <w:rPr>
        <w:rFonts w:ascii="Kantumruy Pro" w:eastAsia="Kantumruy Pro" w:hAnsi="Kantumruy Pro" w:cs="Times New Roman"/>
        <w:color w:val="202334"/>
        <w:sz w:val="18"/>
        <w14:ligatures w14:val="standardContextual"/>
      </w:rPr>
      <w:t>Dieses Produkt ist unter der Lizenz [</w:t>
    </w:r>
    <w:hyperlink r:id="rId1" w:tooltip="https://creativecommons.org/licenses/by/4.0/legalcode.de" w:history="1">
      <w:r>
        <w:rPr>
          <w:rFonts w:ascii="Kantumruy Pro" w:eastAsia="Kantumruy Pro" w:hAnsi="Kantumruy Pro" w:cs="Times New Roman"/>
          <w:color w:val="000000"/>
          <w:sz w:val="18"/>
          <w:u w:val="single"/>
          <w14:ligatures w14:val="standardContextual"/>
        </w:rPr>
        <w:t>CC BY</w:t>
      </w:r>
      <w:r w:rsidR="00CF59BE">
        <w:rPr>
          <w:rFonts w:ascii="Kantumruy Pro" w:eastAsia="Kantumruy Pro" w:hAnsi="Kantumruy Pro" w:cs="Times New Roman"/>
          <w:color w:val="000000"/>
          <w:sz w:val="18"/>
          <w:u w:val="single"/>
          <w14:ligatures w14:val="standardContextual"/>
        </w:rPr>
        <w:t xml:space="preserve"> SA</w:t>
      </w:r>
      <w:r>
        <w:rPr>
          <w:rFonts w:ascii="Kantumruy Pro" w:eastAsia="Kantumruy Pro" w:hAnsi="Kantumruy Pro" w:cs="Times New Roman"/>
          <w:color w:val="000000"/>
          <w:sz w:val="18"/>
          <w:u w:val="single"/>
          <w14:ligatures w14:val="standardContextual"/>
        </w:rPr>
        <w:t xml:space="preserve"> 4.0</w:t>
      </w:r>
    </w:hyperlink>
    <w:r>
      <w:rPr>
        <w:rFonts w:ascii="Kantumruy Pro" w:eastAsia="Kantumruy Pro" w:hAnsi="Kantumruy Pro" w:cs="Times New Roman"/>
        <w:color w:val="202334"/>
        <w:sz w:val="18"/>
        <w14:ligatures w14:val="standardContextual"/>
      </w:rPr>
      <w:t xml:space="preserve">] veröffentlicht. Von der Lizenz ausgenommen sind Logos, Zitate sowie anders gekennzeichnete Materialien und Abbildungen. Die </w:t>
    </w:r>
    <w:proofErr w:type="spellStart"/>
    <w:proofErr w:type="gramStart"/>
    <w:r>
      <w:rPr>
        <w:rFonts w:ascii="Kantumruy Pro" w:eastAsia="Kantumruy Pro" w:hAnsi="Kantumruy Pro" w:cs="Times New Roman"/>
        <w:color w:val="202334"/>
        <w:sz w:val="18"/>
        <w14:ligatures w14:val="standardContextual"/>
      </w:rPr>
      <w:t>Urheber:innen</w:t>
    </w:r>
    <w:proofErr w:type="spellEnd"/>
    <w:proofErr w:type="gramEnd"/>
    <w:r>
      <w:rPr>
        <w:rFonts w:ascii="Kantumruy Pro" w:eastAsia="Kantumruy Pro" w:hAnsi="Kantumruy Pro" w:cs="Times New Roman"/>
        <w:color w:val="202334"/>
        <w:sz w:val="18"/>
        <w14:ligatures w14:val="standardContextual"/>
      </w:rPr>
      <w:t xml:space="preserve"> sollen bei der Weiterverwendung wie folgt angegeben werden: [</w:t>
    </w:r>
    <w:r w:rsidR="00D80247">
      <w:rPr>
        <w:rFonts w:ascii="Kantumruy Pro" w:eastAsia="Kantumruy Pro" w:hAnsi="Kantumruy Pro" w:cs="Times New Roman"/>
        <w:color w:val="202334"/>
        <w:sz w:val="18"/>
        <w14:ligatures w14:val="standardContextual"/>
      </w:rPr>
      <w:t xml:space="preserve">Wolff, Pia; </w:t>
    </w:r>
    <w:r>
      <w:rPr>
        <w:rFonts w:ascii="Kantumruy Pro" w:eastAsia="Kantumruy Pro" w:hAnsi="Kantumruy Pro" w:cs="Times New Roman"/>
        <w:color w:val="202334"/>
        <w:sz w:val="18"/>
        <w14:ligatures w14:val="standardContextual"/>
      </w:rPr>
      <w:t xml:space="preserve">Scheu, Larissa; Quast, </w:t>
    </w:r>
    <w:proofErr w:type="gramStart"/>
    <w:r>
      <w:rPr>
        <w:rFonts w:ascii="Kantumruy Pro" w:eastAsia="Kantumruy Pro" w:hAnsi="Kantumruy Pro" w:cs="Times New Roman"/>
        <w:color w:val="202334"/>
        <w:sz w:val="18"/>
        <w14:ligatures w14:val="standardContextual"/>
      </w:rPr>
      <w:t>Daria;;</w:t>
    </w:r>
    <w:proofErr w:type="gramEnd"/>
    <w:r>
      <w:rPr>
        <w:rFonts w:ascii="Kantumruy Pro" w:eastAsia="Kantumruy Pro" w:hAnsi="Kantumruy Pro" w:cs="Times New Roman"/>
        <w:color w:val="202334"/>
        <w:sz w:val="18"/>
        <w14:ligatures w14:val="standardContextual"/>
      </w:rPr>
      <w:t xml:space="preserve"> </w:t>
    </w:r>
    <w:r w:rsidR="00D80247">
      <w:rPr>
        <w:rFonts w:ascii="Kantumruy Pro" w:eastAsia="Kantumruy Pro" w:hAnsi="Kantumruy Pro" w:cs="Times New Roman"/>
        <w:color w:val="202334"/>
        <w:sz w:val="18"/>
        <w14:ligatures w14:val="standardContextual"/>
      </w:rPr>
      <w:t>Kern</w:t>
    </w:r>
    <w:r>
      <w:rPr>
        <w:rFonts w:ascii="Kantumruy Pro" w:eastAsia="Kantumruy Pro" w:hAnsi="Kantumruy Pro" w:cs="Times New Roman"/>
        <w:color w:val="202334"/>
        <w:sz w:val="18"/>
        <w14:ligatures w14:val="standardContextual"/>
      </w:rPr>
      <w:t>, Isabell; Helf, Philip</w:t>
    </w:r>
    <w:r w:rsidR="00D80247">
      <w:rPr>
        <w:rFonts w:ascii="Kantumruy Pro" w:eastAsia="Kantumruy Pro" w:hAnsi="Kantumruy Pro" w:cs="Times New Roman"/>
        <w:color w:val="202334"/>
        <w:sz w:val="18"/>
        <w14:ligatures w14:val="standardContextual"/>
      </w:rPr>
      <w:t>;</w:t>
    </w:r>
    <w:r>
      <w:rPr>
        <w:rFonts w:ascii="Kantumruy Pro" w:eastAsia="Kantumruy Pro" w:hAnsi="Kantumruy Pro" w:cs="Times New Roman"/>
        <w:color w:val="202334"/>
        <w:sz w:val="18"/>
        <w14:ligatures w14:val="standardContextual"/>
      </w:rPr>
      <w:t xml:space="preserve"> van dem Brink, Malte</w:t>
    </w:r>
    <w:r w:rsidR="00D80247">
      <w:rPr>
        <w:rFonts w:ascii="Kantumruy Pro" w:eastAsia="Kantumruy Pro" w:hAnsi="Kantumruy Pro" w:cs="Times New Roman"/>
        <w:color w:val="202334"/>
        <w:sz w:val="18"/>
        <w14:ligatures w14:val="standardContextual"/>
      </w:rPr>
      <w:t>;</w:t>
    </w:r>
    <w:r w:rsidR="00D80247" w:rsidRPr="00D80247">
      <w:rPr>
        <w:rFonts w:ascii="Kantumruy Pro" w:eastAsia="Kantumruy Pro" w:hAnsi="Kantumruy Pro" w:cs="Times New Roman"/>
        <w:color w:val="202334"/>
        <w:sz w:val="18"/>
        <w14:ligatures w14:val="standardContextual"/>
      </w:rPr>
      <w:t xml:space="preserve"> </w:t>
    </w:r>
    <w:r w:rsidR="00D80247">
      <w:rPr>
        <w:rFonts w:ascii="Kantumruy Pro" w:eastAsia="Kantumruy Pro" w:hAnsi="Kantumruy Pro" w:cs="Times New Roman"/>
        <w:color w:val="202334"/>
        <w:sz w:val="18"/>
        <w14:ligatures w14:val="standardContextual"/>
      </w:rPr>
      <w:t>Lorke, Julia;</w:t>
    </w:r>
    <w:r>
      <w:rPr>
        <w:rFonts w:ascii="Kantumruy Pro" w:eastAsia="Kantumruy Pro" w:hAnsi="Kantumruy Pro" w:cs="Times New Roman"/>
        <w:color w:val="202334"/>
        <w:sz w:val="18"/>
        <w14:ligatures w14:val="standardContextual"/>
      </w:rPr>
      <w:t xml:space="preserve">] Kompetenzverbund </w:t>
    </w:r>
    <w:proofErr w:type="spellStart"/>
    <w:proofErr w:type="gramStart"/>
    <w:r>
      <w:rPr>
        <w:rFonts w:ascii="Kantumruy Pro" w:eastAsia="Kantumruy Pro" w:hAnsi="Kantumruy Pro" w:cs="Times New Roman"/>
        <w:color w:val="202334"/>
        <w:sz w:val="18"/>
        <w14:ligatures w14:val="standardContextual"/>
      </w:rPr>
      <w:t>lernen:digital</w:t>
    </w:r>
    <w:proofErr w:type="spellEnd"/>
    <w:proofErr w:type="gramEnd"/>
    <w:r>
      <w:rPr>
        <w:rFonts w:ascii="Kantumruy Pro" w:eastAsia="Kantumruy Pro" w:hAnsi="Kantumruy Pro" w:cs="Times New Roman"/>
        <w:color w:val="202334"/>
        <w:sz w:val="18"/>
        <w14:ligatures w14:val="standardContextual"/>
      </w:rPr>
      <w:t>, entstanden im Projektverbund [D4MINT].</w:t>
    </w:r>
  </w:p>
  <w:p w14:paraId="714E51E7" w14:textId="24912C03" w:rsidR="005D2B53" w:rsidRDefault="002E4F0A">
    <w:pPr>
      <w:tabs>
        <w:tab w:val="center" w:pos="4536"/>
        <w:tab w:val="right" w:pos="9072"/>
      </w:tabs>
      <w:spacing w:before="0" w:after="0" w:line="240" w:lineRule="auto"/>
      <w:jc w:val="left"/>
      <w:rPr>
        <w:rFonts w:ascii="Kantumruy Pro" w:eastAsia="Kantumruy Pro" w:hAnsi="Kantumruy Pro" w:cs="Times New Roman"/>
        <w:color w:val="202334"/>
        <w:sz w:val="18"/>
        <w14:ligatures w14:val="standardContextual"/>
      </w:rPr>
    </w:pPr>
    <w:r>
      <w:rPr>
        <w:noProof/>
        <w14:ligatures w14:val="standardContextual"/>
      </w:rPr>
      <w:drawing>
        <wp:anchor distT="0" distB="0" distL="114300" distR="114300" simplePos="0" relativeHeight="251686912" behindDoc="0" locked="0" layoutInCell="1" allowOverlap="1" wp14:anchorId="0C0246F6" wp14:editId="397A3D03">
          <wp:simplePos x="0" y="0"/>
          <wp:positionH relativeFrom="column">
            <wp:posOffset>-638175</wp:posOffset>
          </wp:positionH>
          <wp:positionV relativeFrom="paragraph">
            <wp:posOffset>114300</wp:posOffset>
          </wp:positionV>
          <wp:extent cx="2004695" cy="395605"/>
          <wp:effectExtent l="0" t="0" r="0" b="4445"/>
          <wp:wrapNone/>
          <wp:docPr id="102" name="Grafik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fik 5"/>
                  <pic:cNvPicPr/>
                </pic:nvPicPr>
                <pic:blipFill>
                  <a:blip r:embed="rId2">
                    <a:extLs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/>
                </pic:blipFill>
                <pic:spPr bwMode="auto">
                  <a:xfrm>
                    <a:off x="0" y="0"/>
                    <a:ext cx="2004695" cy="395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87936" behindDoc="0" locked="0" layoutInCell="1" allowOverlap="1" wp14:anchorId="2FABD79F" wp14:editId="3B835C57">
          <wp:simplePos x="0" y="0"/>
          <wp:positionH relativeFrom="column">
            <wp:posOffset>3445510</wp:posOffset>
          </wp:positionH>
          <wp:positionV relativeFrom="paragraph">
            <wp:posOffset>93980</wp:posOffset>
          </wp:positionV>
          <wp:extent cx="1443355" cy="323215"/>
          <wp:effectExtent l="0" t="0" r="4445" b="635"/>
          <wp:wrapNone/>
          <wp:docPr id="103" name="Grafik 10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rafik 7"/>
                  <pic:cNvPicPr/>
                </pic:nvPicPr>
                <pic:blipFill>
                  <a:blip r:embed="rId4">
                    <a:extLst>
                      <a:ext uri="{96DAC541-7B7A-43D3-8B79-37D633B846F1}">
                        <asvg:svgBlip xmlns:asvg="http://schemas.microsoft.com/office/drawing/2016/SVG/main" r:embed="rId5"/>
                      </a:ext>
                    </a:extLst>
                  </a:blip>
                  <a:stretch/>
                </pic:blipFill>
                <pic:spPr bwMode="auto">
                  <a:xfrm>
                    <a:off x="0" y="0"/>
                    <a:ext cx="1443355" cy="3232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88960" behindDoc="0" locked="0" layoutInCell="1" allowOverlap="1" wp14:anchorId="1BB4E5AD" wp14:editId="4121749C">
          <wp:simplePos x="0" y="0"/>
          <wp:positionH relativeFrom="column">
            <wp:posOffset>1742440</wp:posOffset>
          </wp:positionH>
          <wp:positionV relativeFrom="paragraph">
            <wp:posOffset>71755</wp:posOffset>
          </wp:positionV>
          <wp:extent cx="1424305" cy="416560"/>
          <wp:effectExtent l="0" t="0" r="4445" b="0"/>
          <wp:wrapNone/>
          <wp:docPr id="104" name="Grafik 10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11"/>
                  <pic:cNvPicPr/>
                </pic:nvPicPr>
                <pic:blipFill>
                  <a:blip r:embed="rId6"/>
                  <a:stretch/>
                </pic:blipFill>
                <pic:spPr bwMode="auto">
                  <a:xfrm>
                    <a:off x="0" y="0"/>
                    <a:ext cx="1424305" cy="416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89984" behindDoc="0" locked="0" layoutInCell="1" allowOverlap="1" wp14:anchorId="5CCC30E4" wp14:editId="3F1FC6FC">
          <wp:simplePos x="0" y="0"/>
          <wp:positionH relativeFrom="column">
            <wp:posOffset>5164455</wp:posOffset>
          </wp:positionH>
          <wp:positionV relativeFrom="paragraph">
            <wp:posOffset>-114935</wp:posOffset>
          </wp:positionV>
          <wp:extent cx="1198245" cy="647700"/>
          <wp:effectExtent l="0" t="0" r="1905" b="0"/>
          <wp:wrapNone/>
          <wp:docPr id="105" name="Grafik 10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rafik 10"/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824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A7D30">
      <w:rPr>
        <w:rFonts w:ascii="Kantumruy Pro" w:eastAsia="Kantumruy Pro" w:hAnsi="Kantumruy Pro" w:cs="Times New Roman"/>
        <w:noProof/>
        <w:color w:val="202334"/>
        <w:sz w:val="18"/>
        <w14:ligatures w14:val="standardContextual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2B423070" wp14:editId="042B0066">
              <wp:simplePos x="0" y="0"/>
              <wp:positionH relativeFrom="column">
                <wp:posOffset>-900430</wp:posOffset>
              </wp:positionH>
              <wp:positionV relativeFrom="page">
                <wp:posOffset>8335645</wp:posOffset>
              </wp:positionV>
              <wp:extent cx="7559675" cy="1097915"/>
              <wp:effectExtent l="0" t="0" r="3175" b="6985"/>
              <wp:wrapNone/>
              <wp:docPr id="9" name="Rechteck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7559675" cy="1097915"/>
                      </a:xfrm>
                      <a:prstGeom prst="rect">
                        <a:avLst/>
                      </a:prstGeom>
                      <a:solidFill>
                        <a:srgbClr val="B4E0E8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8C156CB" id="Rechteck 8" o:spid="_x0000_s1026" style="position:absolute;margin-left:-70.9pt;margin-top:656.35pt;width:595.25pt;height:86.4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" fillcolor="#b4e0e8" stroked="f" strokeweight="1pt">
              <w10:wrap anchory="page"/>
            </v:rect>
          </w:pict>
        </mc:Fallback>
      </mc:AlternateContent>
    </w:r>
  </w:p>
  <w:p w14:paraId="64A8F324" w14:textId="09B5C248" w:rsidR="005D2B53" w:rsidRDefault="005D2B5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E267B" w14:textId="77777777" w:rsidR="00DF4748" w:rsidRDefault="00DF4748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6613480"/>
      <w:docPartObj>
        <w:docPartGallery w:val="Page Numbers (Bottom of Page)"/>
        <w:docPartUnique/>
      </w:docPartObj>
    </w:sdtPr>
    <w:sdtContent>
      <w:p w14:paraId="63CBD7B1" w14:textId="77777777" w:rsidR="005D2B53" w:rsidRDefault="00EA7D30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1E9B96" w14:textId="77777777" w:rsidR="005D2B53" w:rsidRDefault="005D2B53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EE87E" w14:textId="585BCD03" w:rsidR="005D2B53" w:rsidRDefault="00EA7D30">
    <w:pPr>
      <w:framePr w:w="9072" w:h="1341" w:hRule="exact" w:hSpace="142" w:wrap="around" w:vAnchor="page" w:hAnchor="page" w:x="1419" w:y="13546"/>
      <w:spacing w:line="240" w:lineRule="exact"/>
    </w:pPr>
    <w:r>
      <w:t>Dieses Produkt ist unter der Lizenz [</w:t>
    </w:r>
    <w:hyperlink r:id="rId1" w:tooltip="https://creativecommons.org/licenses/by/4.0/legalcode.de" w:history="1">
      <w:r>
        <w:rPr>
          <w:rStyle w:val="Formatvorlage1"/>
        </w:rPr>
        <w:t>CC BY</w:t>
      </w:r>
      <w:r w:rsidR="00A932C5">
        <w:rPr>
          <w:rStyle w:val="Formatvorlage1"/>
        </w:rPr>
        <w:t xml:space="preserve"> SA</w:t>
      </w:r>
      <w:r>
        <w:rPr>
          <w:rStyle w:val="Formatvorlage1"/>
        </w:rPr>
        <w:t xml:space="preserve"> 4.0</w:t>
      </w:r>
    </w:hyperlink>
    <w:r>
      <w:t xml:space="preserve">] veröffentlicht. Von der Lizenz ausgenommen sind Logos, Zitate sowie anders gekennzeichnete Materialien und Abbildungen. Die </w:t>
    </w:r>
    <w:proofErr w:type="spellStart"/>
    <w:proofErr w:type="gramStart"/>
    <w:r>
      <w:t>Urheber:innen</w:t>
    </w:r>
    <w:proofErr w:type="spellEnd"/>
    <w:proofErr w:type="gramEnd"/>
    <w:r>
      <w:t xml:space="preserve"> sollen bei der Weiterverwendung wie folgt angegeben werden: </w:t>
    </w:r>
    <w:r w:rsidR="00EA69EA">
      <w:t>[</w:t>
    </w:r>
    <w:r w:rsidR="00D3609D">
      <w:t xml:space="preserve">Wolff, Pia; </w:t>
    </w:r>
    <w:r>
      <w:t xml:space="preserve">Scheu, Larissa; Quast, Daria; </w:t>
    </w:r>
    <w:r w:rsidR="00C96FD9">
      <w:t>Kern</w:t>
    </w:r>
    <w:r>
      <w:t>, Isabell; Helf, Philip &amp; van dem Brink, Malte</w:t>
    </w:r>
    <w:r w:rsidR="00D3609D">
      <w:t>; Lorke, Julia</w:t>
    </w:r>
    <w:r>
      <w:t xml:space="preserve">] Kompetenzverbund </w:t>
    </w:r>
    <w:proofErr w:type="spellStart"/>
    <w:proofErr w:type="gramStart"/>
    <w:r>
      <w:t>lernen:digital</w:t>
    </w:r>
    <w:proofErr w:type="spellEnd"/>
    <w:proofErr w:type="gramEnd"/>
    <w:r>
      <w:t>, entstanden im Projektverbund [D4MINT].</w:t>
    </w:r>
  </w:p>
  <w:p w14:paraId="41CA0350" w14:textId="0B9C2089" w:rsidR="005D2B53" w:rsidRDefault="002E4F0A">
    <w:pPr>
      <w:pStyle w:val="Fuzeile"/>
    </w:pPr>
    <w:r>
      <w:rPr>
        <w:noProof/>
        <w14:ligatures w14:val="standardContextual"/>
      </w:rPr>
      <w:drawing>
        <wp:anchor distT="0" distB="0" distL="114300" distR="114300" simplePos="0" relativeHeight="251692032" behindDoc="0" locked="0" layoutInCell="1" allowOverlap="1" wp14:anchorId="0FF1A128" wp14:editId="5A740697">
          <wp:simplePos x="0" y="0"/>
          <wp:positionH relativeFrom="column">
            <wp:posOffset>-552450</wp:posOffset>
          </wp:positionH>
          <wp:positionV relativeFrom="paragraph">
            <wp:posOffset>-37465</wp:posOffset>
          </wp:positionV>
          <wp:extent cx="2004695" cy="395605"/>
          <wp:effectExtent l="0" t="0" r="0" b="4445"/>
          <wp:wrapNone/>
          <wp:docPr id="30" name="Grafik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fik 5"/>
                  <pic:cNvPicPr/>
                </pic:nvPicPr>
                <pic:blipFill>
                  <a:blip r:embed="rId2">
                    <a:extLs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/>
                </pic:blipFill>
                <pic:spPr bwMode="auto">
                  <a:xfrm>
                    <a:off x="0" y="0"/>
                    <a:ext cx="2004695" cy="395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93056" behindDoc="0" locked="0" layoutInCell="1" allowOverlap="1" wp14:anchorId="416A73C8" wp14:editId="41AE6561">
          <wp:simplePos x="0" y="0"/>
          <wp:positionH relativeFrom="column">
            <wp:posOffset>3531235</wp:posOffset>
          </wp:positionH>
          <wp:positionV relativeFrom="paragraph">
            <wp:posOffset>-57785</wp:posOffset>
          </wp:positionV>
          <wp:extent cx="1443355" cy="323215"/>
          <wp:effectExtent l="0" t="0" r="4445" b="635"/>
          <wp:wrapNone/>
          <wp:docPr id="31" name="Grafik 3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rafik 7"/>
                  <pic:cNvPicPr/>
                </pic:nvPicPr>
                <pic:blipFill>
                  <a:blip r:embed="rId4">
                    <a:extLst>
                      <a:ext uri="{96DAC541-7B7A-43D3-8B79-37D633B846F1}">
                        <asvg:svgBlip xmlns:asvg="http://schemas.microsoft.com/office/drawing/2016/SVG/main" r:embed="rId5"/>
                      </a:ext>
                    </a:extLst>
                  </a:blip>
                  <a:stretch/>
                </pic:blipFill>
                <pic:spPr bwMode="auto">
                  <a:xfrm>
                    <a:off x="0" y="0"/>
                    <a:ext cx="1443355" cy="3232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94080" behindDoc="0" locked="0" layoutInCell="1" allowOverlap="1" wp14:anchorId="17917513" wp14:editId="6C8EE9DB">
          <wp:simplePos x="0" y="0"/>
          <wp:positionH relativeFrom="column">
            <wp:posOffset>1828165</wp:posOffset>
          </wp:positionH>
          <wp:positionV relativeFrom="paragraph">
            <wp:posOffset>-80010</wp:posOffset>
          </wp:positionV>
          <wp:extent cx="1424305" cy="416560"/>
          <wp:effectExtent l="0" t="0" r="4445" b="0"/>
          <wp:wrapNone/>
          <wp:docPr id="32" name="Grafik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11"/>
                  <pic:cNvPicPr/>
                </pic:nvPicPr>
                <pic:blipFill>
                  <a:blip r:embed="rId6"/>
                  <a:stretch/>
                </pic:blipFill>
                <pic:spPr bwMode="auto">
                  <a:xfrm>
                    <a:off x="0" y="0"/>
                    <a:ext cx="1424305" cy="416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95104" behindDoc="0" locked="0" layoutInCell="1" allowOverlap="1" wp14:anchorId="71A2CB6E" wp14:editId="178BE2F7">
          <wp:simplePos x="0" y="0"/>
          <wp:positionH relativeFrom="column">
            <wp:posOffset>5250180</wp:posOffset>
          </wp:positionH>
          <wp:positionV relativeFrom="paragraph">
            <wp:posOffset>-266700</wp:posOffset>
          </wp:positionV>
          <wp:extent cx="1198245" cy="647700"/>
          <wp:effectExtent l="0" t="0" r="1905" b="0"/>
          <wp:wrapNone/>
          <wp:docPr id="33" name="Grafik 3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rafik 10"/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824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A7D30">
      <w:rPr>
        <w:noProof/>
      </w:rPr>
      <w:drawing>
        <wp:anchor distT="0" distB="0" distL="114300" distR="114300" simplePos="0" relativeHeight="251683840" behindDoc="1" locked="0" layoutInCell="1" allowOverlap="1" wp14:anchorId="1681D98D" wp14:editId="37A84134">
          <wp:simplePos x="0" y="0"/>
          <wp:positionH relativeFrom="column">
            <wp:posOffset>176530</wp:posOffset>
          </wp:positionH>
          <wp:positionV relativeFrom="page">
            <wp:posOffset>8455025</wp:posOffset>
          </wp:positionV>
          <wp:extent cx="143510" cy="143510"/>
          <wp:effectExtent l="0" t="0" r="8890" b="8890"/>
          <wp:wrapNone/>
          <wp:docPr id="14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5390638" name="Grafik 9"/>
                  <pic:cNvPicPr>
                    <a:picLocks noChangeAspect="1"/>
                  </pic:cNvPicPr>
                </pic:nvPicPr>
                <pic:blipFill>
                  <a:blip r:embed="rId8"/>
                  <a:stretch/>
                </pic:blipFill>
                <pic:spPr bwMode="auto">
                  <a:xfrm>
                    <a:off x="0" y="0"/>
                    <a:ext cx="143510" cy="143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A7D30">
      <w:rPr>
        <w:noProof/>
      </w:rPr>
      <w:drawing>
        <wp:anchor distT="0" distB="0" distL="114300" distR="114300" simplePos="0" relativeHeight="251682816" behindDoc="1" locked="0" layoutInCell="1" allowOverlap="1" wp14:anchorId="0E83BC49" wp14:editId="4CDA3046">
          <wp:simplePos x="0" y="0"/>
          <wp:positionH relativeFrom="column">
            <wp:posOffset>0</wp:posOffset>
          </wp:positionH>
          <wp:positionV relativeFrom="page">
            <wp:posOffset>8455025</wp:posOffset>
          </wp:positionV>
          <wp:extent cx="143510" cy="143510"/>
          <wp:effectExtent l="0" t="0" r="8890" b="8890"/>
          <wp:wrapNone/>
          <wp:docPr id="15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9252600" name="Grafik 559252600"/>
                  <pic:cNvPicPr>
                    <a:picLocks noChangeAspect="1"/>
                  </pic:cNvPicPr>
                </pic:nvPicPr>
                <pic:blipFill>
                  <a:blip r:embed="rId9"/>
                  <a:stretch/>
                </pic:blipFill>
                <pic:spPr bwMode="auto">
                  <a:xfrm>
                    <a:off x="0" y="0"/>
                    <a:ext cx="143510" cy="143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A7D30">
      <w:rPr>
        <w:noProof/>
      </w:rPr>
      <mc:AlternateContent>
        <mc:Choice Requires="wps">
          <w:drawing>
            <wp:anchor distT="0" distB="0" distL="114300" distR="114300" simplePos="0" relativeHeight="251681792" behindDoc="1" locked="0" layoutInCell="1" allowOverlap="1" wp14:anchorId="6EDAE9A0" wp14:editId="697AC11F">
              <wp:simplePos x="0" y="0"/>
              <wp:positionH relativeFrom="page">
                <wp:align>right</wp:align>
              </wp:positionH>
              <wp:positionV relativeFrom="page">
                <wp:posOffset>8250555</wp:posOffset>
              </wp:positionV>
              <wp:extent cx="7559675" cy="1360805"/>
              <wp:effectExtent l="0" t="0" r="3175" b="0"/>
              <wp:wrapNone/>
              <wp:docPr id="16" name="Rechteck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7559675" cy="1360968"/>
                      </a:xfrm>
                      <a:prstGeom prst="rect">
                        <a:avLst/>
                      </a:prstGeom>
                      <a:solidFill>
                        <a:srgbClr val="B4E0E8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FC8D063" id="Rechteck 8" o:spid="_x0000_s1026" style="position:absolute;margin-left:544.05pt;margin-top:649.65pt;width:595.25pt;height:107.15pt;z-index:-25163468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" fillcolor="#b4e0e8" stroked="f" strokeweight="1pt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24D95" w14:textId="77777777" w:rsidR="00D13A8C" w:rsidRDefault="00D13A8C">
      <w:pPr>
        <w:spacing w:before="0" w:after="0" w:line="240" w:lineRule="auto"/>
      </w:pPr>
      <w:r>
        <w:separator/>
      </w:r>
    </w:p>
  </w:footnote>
  <w:footnote w:type="continuationSeparator" w:id="0">
    <w:p w14:paraId="124E834D" w14:textId="77777777" w:rsidR="00D13A8C" w:rsidRDefault="00D13A8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CF2A8" w14:textId="77777777" w:rsidR="00DF4748" w:rsidRDefault="00DF474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9023D" w14:textId="77777777" w:rsidR="005D2B53" w:rsidRDefault="00EA7D30">
    <w:pPr>
      <w:pStyle w:val="Kopfzeile"/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4A766C4" wp14:editId="151E4F23">
              <wp:simplePos x="0" y="0"/>
              <wp:positionH relativeFrom="page">
                <wp:posOffset>900430</wp:posOffset>
              </wp:positionH>
              <wp:positionV relativeFrom="page">
                <wp:posOffset>822960</wp:posOffset>
              </wp:positionV>
              <wp:extent cx="2250000" cy="520742"/>
              <wp:effectExtent l="0" t="0" r="0" b="0"/>
              <wp:wrapTopAndBottom/>
              <wp:docPr id="100" name="Grafik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97792289" name="Grafik 1597792289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/>
                    </pic:blipFill>
                    <pic:spPr bwMode="auto">
                      <a:xfrm>
                        <a:off x="0" y="0"/>
                        <a:ext cx="2250000" cy="5207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51664384;o:allowoverlap:true;o:allowincell:true;mso-position-horizontal-relative:page;margin-left:70.90pt;mso-position-horizontal:absolute;mso-position-vertical-relative:page;margin-top:64.80pt;mso-position-vertical:absolute;width:177.17pt;height:41.00pt;mso-wrap-distance-left:9.00pt;mso-wrap-distance-top:0.00pt;mso-wrap-distance-right:9.00pt;mso-wrap-distance-bottom:0.00pt;z-index:1;" stroked="false">
              <w10:wrap type="topAndBottom"/>
              <v:imagedata r:id="rId3" o:title=""/>
              <o:lock v:ext="edit" rotation="t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6CEB4B3" wp14:editId="02F71FB5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560000" cy="1602000"/>
              <wp:effectExtent l="0" t="0" r="3175" b="0"/>
              <wp:wrapTopAndBottom/>
              <wp:docPr id="101" name="Grafik 192100454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58313165" name="Grafik 1358313165"/>
                      <pic:cNvPicPr>
                        <a:picLocks noChangeAspect="1"/>
                      </pic:cNvPicPr>
                    </pic:nvPicPr>
                    <pic:blipFill>
                      <a:blip r:embed="rId4">
                        <a:extLst>
                          <a:ext uri="{96DAC541-7B7A-43D3-8B79-37D633B846F1}">
                            <asvg:svgBlip xmlns:asvg="http://schemas.microsoft.com/office/drawing/2016/SVG/main" r:embed="rId5"/>
                          </a:ext>
                        </a:extLst>
                      </a:blip>
                      <a:srcRect l="14610" t="36107" r="20129" b="27007"/>
                      <a:stretch/>
                    </pic:blipFill>
                    <pic:spPr bwMode="auto">
                      <a:xfrm>
                        <a:off x="0" y="0"/>
                        <a:ext cx="7560000" cy="1602000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position:absolute;z-index:251663360;o:allowoverlap:true;o:allowincell:true;mso-position-horizontal-relative:page;mso-position-horizontal:left;mso-position-vertical-relative:page;mso-position-vertical:top;width:595.28pt;height:126.14pt;mso-wrap-distance-left:9.00pt;mso-wrap-distance-top:0.00pt;mso-wrap-distance-right:9.00pt;mso-wrap-distance-bottom:0.00pt;z-index:1;" stroked="f">
              <w10:wrap type="topAndBottom"/>
              <v:imagedata r:id="rId6" o:title="" croptop="23663f" cropleft="9575f" cropbottom="17699f" cropright="13192f"/>
              <o:lock v:ext="edit" rotation="t"/>
            </v:shape>
          </w:pict>
        </mc:Fallback>
      </mc:AlternateContent>
    </w:r>
  </w:p>
  <w:p w14:paraId="51979FB9" w14:textId="77777777" w:rsidR="005D2B53" w:rsidRDefault="005D2B5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5230D" w14:textId="77777777" w:rsidR="00DF4748" w:rsidRDefault="00DF4748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56684" w14:textId="77777777" w:rsidR="005D2B53" w:rsidRDefault="00EA7D30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880CB6" wp14:editId="475C9788">
              <wp:simplePos x="0" y="0"/>
              <wp:positionH relativeFrom="margin">
                <wp:align>left</wp:align>
              </wp:positionH>
              <wp:positionV relativeFrom="paragraph">
                <wp:posOffset>-1006</wp:posOffset>
              </wp:positionV>
              <wp:extent cx="5638165" cy="810883"/>
              <wp:effectExtent l="0" t="0" r="19685" b="27940"/>
              <wp:wrapNone/>
              <wp:docPr id="3" name="Abgerundetes Rechteck 9735749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638165" cy="810883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359E8F"/>
                      </a:solidFill>
                      <a:ln w="25527">
                        <a:solidFill>
                          <a:srgbClr val="359E8F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38015F9E" w14:textId="77777777" w:rsidR="005D2B53" w:rsidRDefault="00EA7D30">
                          <w:pPr>
                            <w:jc w:val="left"/>
                            <w:rPr>
                              <w:b/>
                              <w:bCs/>
                              <w:sz w:val="28"/>
                              <w:szCs w:val="32"/>
                            </w:rPr>
                          </w:pPr>
                          <w:r>
                            <w:rPr>
                              <w:b/>
                              <w:bCs/>
                              <w:sz w:val="28"/>
                              <w:szCs w:val="36"/>
                            </w:rPr>
                            <w:t xml:space="preserve">Experiment zur Abhängigkeit der Photosyntheserate von Umweltfaktoren bei 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sz w:val="28"/>
                              <w:szCs w:val="36"/>
                            </w:rPr>
                            <w:t>Ocimum basilicum</w:t>
                          </w:r>
                        </w:p>
                        <w:p w14:paraId="27BDF45C" w14:textId="77777777" w:rsidR="005D2B53" w:rsidRDefault="005D2B53">
                          <w:pPr>
                            <w:spacing w:line="0" w:lineRule="atLeast"/>
                            <w:rPr>
                              <w:rFonts w:cs="Consolas"/>
                              <w:color w:val="FFFFFF" w:themeColor="background1"/>
                              <w:spacing w:val="20"/>
                              <w:sz w:val="32"/>
                              <w:szCs w:val="32"/>
                            </w:rPr>
                          </w:pPr>
                        </w:p>
                      </w:txbxContent>
                    </wps:txbx>
                    <wps:bodyPr rot="0" vert="horz" wrap="square" lIns="90000" tIns="45000" rIns="90000" bIns="45000" anchor="t" anchorCtr="0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5D880CB6" id="Abgerundetes Rechteck 973574979" o:spid="_x0000_s1026" style="position:absolute;left:0;text-align:left;margin-left:0;margin-top:-.1pt;width:443.95pt;height:63.85pt;z-index:25166131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" fillcolor="#359e8f" strokecolor="#359e8f" strokeweight="2.01pt">
              <v:textbox inset="2.5mm,1.25mm,2.5mm,1.25mm">
                <w:txbxContent>
                  <w:p w14:paraId="38015F9E" w14:textId="77777777" w:rsidR="005D2B53" w:rsidRDefault="00EA7D30">
                    <w:pPr>
                      <w:jc w:val="left"/>
                      <w:rPr>
                        <w:b/>
                        <w:bCs/>
                        <w:sz w:val="28"/>
                        <w:szCs w:val="32"/>
                      </w:rPr>
                    </w:pPr>
                    <w:r>
                      <w:rPr>
                        <w:b/>
                        <w:bCs/>
                        <w:sz w:val="28"/>
                        <w:szCs w:val="36"/>
                      </w:rPr>
                      <w:t xml:space="preserve">Experiment zur Abhängigkeit der Photosyntheserate von Umweltfaktoren bei </w:t>
                    </w:r>
                    <w:r>
                      <w:rPr>
                        <w:b/>
                        <w:bCs/>
                        <w:i/>
                        <w:iCs/>
                        <w:sz w:val="28"/>
                        <w:szCs w:val="36"/>
                      </w:rPr>
                      <w:t>Ocimum basilicum</w:t>
                    </w:r>
                  </w:p>
                  <w:p w14:paraId="27BDF45C" w14:textId="77777777" w:rsidR="005D2B53" w:rsidRDefault="005D2B53">
                    <w:pPr>
                      <w:spacing w:line="0" w:lineRule="atLeast"/>
                      <w:rPr>
                        <w:rFonts w:cs="Consolas"/>
                        <w:color w:val="FFFFFF" w:themeColor="background1"/>
                        <w:spacing w:val="20"/>
                        <w:sz w:val="32"/>
                        <w:szCs w:val="32"/>
                      </w:rPr>
                    </w:pPr>
                  </w:p>
                </w:txbxContent>
              </v:textbox>
              <w10:wrap anchorx="margin"/>
            </v:roundrect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F20C5" w14:textId="77777777" w:rsidR="005D2B53" w:rsidRDefault="00EA7D30">
    <w:pPr>
      <w:pStyle w:val="Kopfzeile"/>
    </w:pPr>
    <w:r>
      <w:rPr>
        <w:noProof/>
      </w:rPr>
      <mc:AlternateContent>
        <mc:Choice Requires="wpg">
          <w:drawing>
            <wp:anchor distT="0" distB="0" distL="114300" distR="114300" simplePos="0" relativeHeight="251677696" behindDoc="0" locked="0" layoutInCell="1" allowOverlap="1" wp14:anchorId="462E1F16" wp14:editId="726B714C">
              <wp:simplePos x="0" y="0"/>
              <wp:positionH relativeFrom="page">
                <wp:posOffset>900430</wp:posOffset>
              </wp:positionH>
              <wp:positionV relativeFrom="page">
                <wp:posOffset>822960</wp:posOffset>
              </wp:positionV>
              <wp:extent cx="2250000" cy="520742"/>
              <wp:effectExtent l="0" t="0" r="0" b="0"/>
              <wp:wrapTopAndBottom/>
              <wp:docPr id="4" name="Grafik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97792289" name="Grafik 1597792289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2250000" cy="5207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3" o:spid="_x0000_s3" type="#_x0000_t75" style="position:absolute;z-index:251677696;o:allowoverlap:true;o:allowincell:true;mso-position-horizontal-relative:page;margin-left:70.90pt;mso-position-horizontal:absolute;mso-position-vertical-relative:page;margin-top:64.80pt;mso-position-vertical:absolute;width:177.17pt;height:41.00pt;mso-wrap-distance-left:9.00pt;mso-wrap-distance-top:0.00pt;mso-wrap-distance-right:9.00pt;mso-wrap-distance-bottom:0.00pt;z-index:1;" stroked="false">
              <w10:wrap type="topAndBottom"/>
              <v:imagedata r:id="rId2" o:title=""/>
              <o:lock v:ext="edit" rotation="t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76672" behindDoc="0" locked="0" layoutInCell="1" allowOverlap="1" wp14:anchorId="1EE65670" wp14:editId="058EDAD6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560000" cy="1602000"/>
              <wp:effectExtent l="0" t="0" r="3175" b="0"/>
              <wp:wrapTopAndBottom/>
              <wp:docPr id="5" name="Grafik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58313165" name="Grafik 1358313165"/>
                      <pic:cNvPicPr>
                        <a:picLocks noChangeAspect="1"/>
                      </pic:cNvPicPr>
                    </pic:nvPicPr>
                    <pic:blipFill>
                      <a:blip r:embed="rId3"/>
                      <a:srcRect l="14610" t="36107" r="20129" b="27007"/>
                      <a:stretch/>
                    </pic:blipFill>
                    <pic:spPr bwMode="auto">
                      <a:xfrm>
                        <a:off x="0" y="0"/>
                        <a:ext cx="7560000" cy="1602000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4" o:spid="_x0000_s4" type="#_x0000_t75" style="position:absolute;z-index:251676672;o:allowoverlap:true;o:allowincell:true;mso-position-horizontal-relative:page;mso-position-horizontal:left;mso-position-vertical-relative:page;mso-position-vertical:top;width:595.28pt;height:126.14pt;mso-wrap-distance-left:9.00pt;mso-wrap-distance-top:0.00pt;mso-wrap-distance-right:9.00pt;mso-wrap-distance-bottom:0.00pt;z-index:1;" stroked="f">
              <w10:wrap type="topAndBottom"/>
              <v:imagedata r:id="rId4" o:title="" croptop="23663f" cropleft="9575f" cropbottom="17699f" cropright="13192f"/>
              <o:lock v:ext="edit" rotation="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C3AE4"/>
    <w:multiLevelType w:val="multilevel"/>
    <w:tmpl w:val="00620C5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422A97"/>
    <w:multiLevelType w:val="multilevel"/>
    <w:tmpl w:val="FCA863E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BED615D"/>
    <w:multiLevelType w:val="multilevel"/>
    <w:tmpl w:val="C584F74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4B83A70"/>
    <w:multiLevelType w:val="multilevel"/>
    <w:tmpl w:val="19C4B2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E0D55F1"/>
    <w:multiLevelType w:val="multilevel"/>
    <w:tmpl w:val="A55673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E86722D"/>
    <w:multiLevelType w:val="multilevel"/>
    <w:tmpl w:val="10561BD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11695639">
    <w:abstractNumId w:val="2"/>
  </w:num>
  <w:num w:numId="2" w16cid:durableId="1554467668">
    <w:abstractNumId w:val="1"/>
  </w:num>
  <w:num w:numId="3" w16cid:durableId="127019194">
    <w:abstractNumId w:val="0"/>
  </w:num>
  <w:num w:numId="4" w16cid:durableId="611208347">
    <w:abstractNumId w:val="5"/>
  </w:num>
  <w:num w:numId="5" w16cid:durableId="1587377922">
    <w:abstractNumId w:val="4"/>
  </w:num>
  <w:num w:numId="6" w16cid:durableId="651506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B53"/>
    <w:rsid w:val="00274453"/>
    <w:rsid w:val="00295AB3"/>
    <w:rsid w:val="002E4F0A"/>
    <w:rsid w:val="005326E3"/>
    <w:rsid w:val="005D27C5"/>
    <w:rsid w:val="005D2B53"/>
    <w:rsid w:val="009E4B66"/>
    <w:rsid w:val="00A932C5"/>
    <w:rsid w:val="00AB7B74"/>
    <w:rsid w:val="00C00FC0"/>
    <w:rsid w:val="00C96FD9"/>
    <w:rsid w:val="00CA64C2"/>
    <w:rsid w:val="00CF59BE"/>
    <w:rsid w:val="00D13A8C"/>
    <w:rsid w:val="00D3609D"/>
    <w:rsid w:val="00D80247"/>
    <w:rsid w:val="00DF4748"/>
    <w:rsid w:val="00EA69EA"/>
    <w:rsid w:val="00EA7D30"/>
    <w:rsid w:val="00FB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C5BFF"/>
  <w15:docId w15:val="{126EAE9F-069B-4EE8-BF30-4C61FFD67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before="120" w:after="120" w:line="360" w:lineRule="auto"/>
      <w:jc w:val="both"/>
    </w:pPr>
    <w:rPr>
      <w:rFonts w:ascii="Arial" w:hAnsi="Arial"/>
      <w:sz w:val="20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 w:val="24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outlineLvl w:val="1"/>
    </w:pPr>
    <w:rPr>
      <w:rFonts w:eastAsiaTheme="majorEastAsia" w:cstheme="majorBidi"/>
      <w:b/>
      <w:color w:val="000000" w:themeColor="text1"/>
      <w:sz w:val="22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pPr>
      <w:keepNext/>
      <w:keepLines/>
      <w:spacing w:line="259" w:lineRule="auto"/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80" w:after="40"/>
      <w:outlineLvl w:val="3"/>
    </w:pPr>
    <w:rPr>
      <w:rFonts w:eastAsia="Arial" w:cs="Arial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80" w:after="40"/>
      <w:outlineLvl w:val="4"/>
    </w:pPr>
    <w:rPr>
      <w:rFonts w:eastAsia="Arial" w:cs="Arial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40" w:after="0"/>
      <w:outlineLvl w:val="5"/>
    </w:pPr>
    <w:rPr>
      <w:rFonts w:eastAsia="Arial" w:cs="Arial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40" w:after="0"/>
      <w:outlineLvl w:val="6"/>
    </w:pPr>
    <w:rPr>
      <w:rFonts w:eastAsia="Arial" w:cs="Arial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after="0"/>
      <w:outlineLvl w:val="7"/>
    </w:pPr>
    <w:rPr>
      <w:rFonts w:eastAsia="Arial" w:cs="Arial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after="0"/>
      <w:outlineLvl w:val="8"/>
    </w:pPr>
    <w:rPr>
      <w:rFonts w:eastAsia="Arial" w:cs="Arial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 w:line="240" w:lineRule="auto"/>
      <w:contextualSpacing/>
    </w:pPr>
    <w:rPr>
      <w:rFonts w:eastAsia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100"/>
    </w:pPr>
  </w:style>
  <w:style w:type="paragraph" w:styleId="Verzeichnis2">
    <w:name w:val="toc 2"/>
    <w:basedOn w:val="Standard"/>
    <w:next w:val="Standard"/>
    <w:uiPriority w:val="39"/>
    <w:unhideWhenUsed/>
    <w:pPr>
      <w:spacing w:after="100"/>
      <w:ind w:left="220"/>
    </w:pPr>
  </w:style>
  <w:style w:type="paragraph" w:styleId="Verzeichnis3">
    <w:name w:val="toc 3"/>
    <w:basedOn w:val="Standard"/>
    <w:next w:val="Standard"/>
    <w:uiPriority w:val="39"/>
    <w:unhideWhenUsed/>
    <w:pPr>
      <w:spacing w:after="100"/>
      <w:ind w:left="440"/>
    </w:pPr>
  </w:style>
  <w:style w:type="paragraph" w:styleId="Verzeichnis4">
    <w:name w:val="toc 4"/>
    <w:basedOn w:val="Standard"/>
    <w:next w:val="Standard"/>
    <w:uiPriority w:val="39"/>
    <w:unhideWhenUsed/>
    <w:pPr>
      <w:spacing w:after="100"/>
      <w:ind w:left="660"/>
    </w:pPr>
  </w:style>
  <w:style w:type="paragraph" w:styleId="Verzeichnis5">
    <w:name w:val="toc 5"/>
    <w:basedOn w:val="Standard"/>
    <w:next w:val="Standard"/>
    <w:uiPriority w:val="39"/>
    <w:unhideWhenUsed/>
    <w:pPr>
      <w:spacing w:after="100"/>
      <w:ind w:left="880"/>
    </w:pPr>
  </w:style>
  <w:style w:type="paragraph" w:styleId="Verzeichnis6">
    <w:name w:val="toc 6"/>
    <w:basedOn w:val="Standard"/>
    <w:next w:val="Standard"/>
    <w:uiPriority w:val="39"/>
    <w:unhideWhenUsed/>
    <w:pPr>
      <w:spacing w:after="100"/>
      <w:ind w:left="1100"/>
    </w:pPr>
  </w:style>
  <w:style w:type="paragraph" w:styleId="Verzeichnis7">
    <w:name w:val="toc 7"/>
    <w:basedOn w:val="Standard"/>
    <w:next w:val="Standard"/>
    <w:uiPriority w:val="39"/>
    <w:unhideWhenUsed/>
    <w:pPr>
      <w:spacing w:after="100"/>
      <w:ind w:left="1320"/>
    </w:pPr>
  </w:style>
  <w:style w:type="paragraph" w:styleId="Verzeichnis8">
    <w:name w:val="toc 8"/>
    <w:basedOn w:val="Standard"/>
    <w:next w:val="Standard"/>
    <w:uiPriority w:val="39"/>
    <w:unhideWhenUsed/>
    <w:pPr>
      <w:spacing w:after="100"/>
      <w:ind w:left="1540"/>
    </w:pPr>
  </w:style>
  <w:style w:type="paragraph" w:styleId="Verzeichnis9">
    <w:name w:val="toc 9"/>
    <w:basedOn w:val="Standard"/>
    <w:next w:val="Standard"/>
    <w:uiPriority w:val="39"/>
    <w:unhideWhenUsed/>
    <w:pPr>
      <w:spacing w:after="100"/>
      <w:ind w:left="1760"/>
    </w:pPr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paragraph" w:styleId="KeinLeerraum">
    <w:name w:val="No Spacing"/>
    <w:uiPriority w:val="1"/>
    <w:qFormat/>
    <w:pPr>
      <w:spacing w:after="120" w:line="360" w:lineRule="auto"/>
    </w:pPr>
    <w:rPr>
      <w:rFonts w:ascii="Arial" w:hAnsi="Arial"/>
      <w:sz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Theme="majorEastAsia" w:hAnsi="Arial" w:cstheme="majorBidi"/>
      <w:b/>
      <w:color w:val="000000" w:themeColor="text1"/>
      <w:sz w:val="24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Theme="majorEastAsia" w:hAnsi="Arial" w:cstheme="majorBidi"/>
      <w:b/>
      <w:color w:val="000000" w:themeColor="text1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ascii="Arial" w:eastAsiaTheme="majorEastAsia" w:hAnsi="Arial" w:cstheme="majorBidi"/>
      <w:b/>
      <w:color w:val="000000" w:themeColor="text1"/>
      <w:sz w:val="20"/>
      <w:szCs w:val="24"/>
    </w:rPr>
  </w:style>
  <w:style w:type="character" w:styleId="BesuchterLink">
    <w:name w:val="FollowedHyperlink"/>
    <w:basedOn w:val="Absatz-Standardschriftart"/>
    <w:uiPriority w:val="99"/>
    <w:semiHidden/>
    <w:unhideWhenUsed/>
    <w:qFormat/>
    <w:rPr>
      <w:color w:val="4472C4" w:themeColor="accent1"/>
      <w:u w:val="single"/>
    </w:rPr>
  </w:style>
  <w:style w:type="character" w:styleId="Hyperlink">
    <w:name w:val="Hyperlink"/>
    <w:basedOn w:val="Absatz-Standardschriftart"/>
    <w:uiPriority w:val="99"/>
    <w:unhideWhenUsed/>
    <w:qFormat/>
    <w:rPr>
      <w:color w:val="4472C4" w:themeColor="accent1"/>
      <w:u w:val="single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rial" w:hAnsi="Arial"/>
      <w:sz w:val="20"/>
      <w:lang w:val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hAnsi="Arial"/>
      <w:sz w:val="20"/>
      <w:lang w:val="de-DE"/>
      <w14:ligatures w14:val="none"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rmatvorlage1">
    <w:name w:val="Formatvorlage1"/>
    <w:basedOn w:val="BesuchterLink"/>
    <w:uiPriority w:val="1"/>
    <w:qFormat/>
    <w:rPr>
      <w:color w:val="000000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Arial" w:hAnsi="Arial"/>
      <w:sz w:val="20"/>
      <w:szCs w:val="20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s://d4mint.de/angebote-fuer-fortbildende/" TargetMode="External"/><Relationship Id="rId10" Type="http://schemas.openxmlformats.org/officeDocument/2006/relationships/footer" Target="footer2.xm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svg"/><Relationship Id="rId7" Type="http://schemas.openxmlformats.org/officeDocument/2006/relationships/image" Target="media/image10.png"/><Relationship Id="rId2" Type="http://schemas.openxmlformats.org/officeDocument/2006/relationships/image" Target="media/image5.png"/><Relationship Id="rId1" Type="http://schemas.openxmlformats.org/officeDocument/2006/relationships/hyperlink" Target="https://creativecommons.org/licenses/by/4.0/legalcode.de" TargetMode="External"/><Relationship Id="rId6" Type="http://schemas.openxmlformats.org/officeDocument/2006/relationships/image" Target="media/image9.png"/><Relationship Id="rId5" Type="http://schemas.openxmlformats.org/officeDocument/2006/relationships/image" Target="media/image8.svg"/><Relationship Id="rId4" Type="http://schemas.openxmlformats.org/officeDocument/2006/relationships/image" Target="media/image7.png"/></Relationships>
</file>

<file path=word/_rels/footer5.xml.rels><?xml version="1.0" encoding="UTF-8" standalone="yes"?>
<Relationships xmlns="http://schemas.openxmlformats.org/package/2006/relationships"><Relationship Id="rId8" Type="http://schemas.openxmlformats.org/officeDocument/2006/relationships/image" Target="media/image14.png"/><Relationship Id="rId3" Type="http://schemas.openxmlformats.org/officeDocument/2006/relationships/image" Target="media/image6.svg"/><Relationship Id="rId7" Type="http://schemas.openxmlformats.org/officeDocument/2006/relationships/image" Target="media/image10.png"/><Relationship Id="rId2" Type="http://schemas.openxmlformats.org/officeDocument/2006/relationships/image" Target="media/image5.png"/><Relationship Id="rId1" Type="http://schemas.openxmlformats.org/officeDocument/2006/relationships/hyperlink" Target="https://creativecommons.org/licenses/by/4.0/legalcode.de" TargetMode="External"/><Relationship Id="rId6" Type="http://schemas.openxmlformats.org/officeDocument/2006/relationships/image" Target="media/image9.png"/><Relationship Id="rId5" Type="http://schemas.openxmlformats.org/officeDocument/2006/relationships/image" Target="media/image8.svg"/><Relationship Id="rId4" Type="http://schemas.openxmlformats.org/officeDocument/2006/relationships/image" Target="media/image7.png"/><Relationship Id="rId9" Type="http://schemas.openxmlformats.org/officeDocument/2006/relationships/image" Target="media/image1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2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6" Type="http://schemas.openxmlformats.org/officeDocument/2006/relationships/image" Target="media/image2.png"/><Relationship Id="rId5" Type="http://schemas.openxmlformats.org/officeDocument/2006/relationships/image" Target="media/image4.svg"/><Relationship Id="rId4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3" Type="http://schemas.openxmlformats.org/officeDocument/2006/relationships/image" Target="media/image13.png"/><Relationship Id="rId2" Type="http://schemas.openxmlformats.org/officeDocument/2006/relationships/image" Target="media/image12.png"/><Relationship Id="rId1" Type="http://schemas.openxmlformats.org/officeDocument/2006/relationships/image" Target="media/image11.png"/><Relationship Id="rId4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10C3545753C4F0BB6980A37D76F9E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95873F-14A7-4F85-804C-96F1CF0ED6A8}"/>
      </w:docPartPr>
      <w:docPartBody>
        <w:p w:rsidR="006B4F06" w:rsidRDefault="002103F4">
          <w:pPr>
            <w:pStyle w:val="F10C3545753C4F0BB6980A37D76F9E43"/>
          </w:pPr>
          <w:r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974EE" w:rsidRDefault="005974EE">
      <w:pPr>
        <w:spacing w:after="0" w:line="240" w:lineRule="auto"/>
      </w:pPr>
      <w:r>
        <w:separator/>
      </w:r>
    </w:p>
  </w:endnote>
  <w:endnote w:type="continuationSeparator" w:id="0">
    <w:p w:rsidR="005974EE" w:rsidRDefault="005974EE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antumruy Pro">
    <w:altName w:val="Calibri"/>
    <w:charset w:val="00"/>
    <w:family w:val="auto"/>
    <w:pitch w:val="default"/>
  </w:font>
  <w:font w:name="Kantumruy Pro SemiBold">
    <w:altName w:val="Calibri"/>
    <w:charset w:val="00"/>
    <w:family w:val="auto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974EE" w:rsidRDefault="005974EE">
      <w:pPr>
        <w:spacing w:after="0" w:line="240" w:lineRule="auto"/>
      </w:pPr>
      <w:r>
        <w:separator/>
      </w:r>
    </w:p>
  </w:footnote>
  <w:footnote w:type="continuationSeparator" w:id="0">
    <w:p w:rsidR="005974EE" w:rsidRDefault="005974EE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4F06"/>
    <w:rsid w:val="002103F4"/>
    <w:rsid w:val="004508FB"/>
    <w:rsid w:val="005974EE"/>
    <w:rsid w:val="005D27C5"/>
    <w:rsid w:val="006B4F06"/>
    <w:rsid w:val="008F3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3BDE6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63BDE6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2AA8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2AA8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96C24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196C24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FCAF3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5FCAF3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A76C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auto"/>
          <w:left w:val="single" w:sz="4" w:space="0" w:color="DA76C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4DA7B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auto"/>
          <w:left w:val="single" w:sz="4" w:space="0" w:color="94DA7B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56082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single" w:sz="4" w:space="0" w:color="156082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2AA8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2AA8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8D45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48D45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FCAF3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5FCAF3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76CC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D76CC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ED873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8ED873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KeinLeerraum">
    <w:name w:val="No Spacing"/>
    <w:basedOn w:val="Standard"/>
    <w:uiPriority w:val="1"/>
    <w:qFormat/>
    <w:pPr>
      <w:spacing w:after="0" w:line="240" w:lineRule="auto"/>
    </w:p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Pr>
      <w:color w:val="467886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6607D" w:themeColor="followedHyperlink"/>
      <w:u w:val="single"/>
    </w:rPr>
  </w:style>
  <w:style w:type="paragraph" w:styleId="Verzeichnis1">
    <w:name w:val="toc 1"/>
    <w:basedOn w:val="Standard"/>
    <w:next w:val="Standard"/>
    <w:uiPriority w:val="39"/>
    <w:unhideWhenUsed/>
    <w:pPr>
      <w:spacing w:after="100"/>
    </w:pPr>
  </w:style>
  <w:style w:type="paragraph" w:styleId="Verzeichnis2">
    <w:name w:val="toc 2"/>
    <w:basedOn w:val="Standard"/>
    <w:next w:val="Standard"/>
    <w:uiPriority w:val="39"/>
    <w:unhideWhenUsed/>
    <w:pPr>
      <w:spacing w:after="100"/>
      <w:ind w:left="220"/>
    </w:pPr>
  </w:style>
  <w:style w:type="paragraph" w:styleId="Verzeichnis3">
    <w:name w:val="toc 3"/>
    <w:basedOn w:val="Standard"/>
    <w:next w:val="Standard"/>
    <w:uiPriority w:val="39"/>
    <w:unhideWhenUsed/>
    <w:pPr>
      <w:spacing w:after="100"/>
      <w:ind w:left="440"/>
    </w:pPr>
  </w:style>
  <w:style w:type="paragraph" w:styleId="Verzeichnis4">
    <w:name w:val="toc 4"/>
    <w:basedOn w:val="Standard"/>
    <w:next w:val="Standard"/>
    <w:uiPriority w:val="39"/>
    <w:unhideWhenUsed/>
    <w:pPr>
      <w:spacing w:after="100"/>
      <w:ind w:left="660"/>
    </w:pPr>
  </w:style>
  <w:style w:type="paragraph" w:styleId="Verzeichnis5">
    <w:name w:val="toc 5"/>
    <w:basedOn w:val="Standard"/>
    <w:next w:val="Standard"/>
    <w:uiPriority w:val="39"/>
    <w:unhideWhenUsed/>
    <w:pPr>
      <w:spacing w:after="100"/>
      <w:ind w:left="880"/>
    </w:pPr>
  </w:style>
  <w:style w:type="paragraph" w:styleId="Verzeichnis6">
    <w:name w:val="toc 6"/>
    <w:basedOn w:val="Standard"/>
    <w:next w:val="Standard"/>
    <w:uiPriority w:val="39"/>
    <w:unhideWhenUsed/>
    <w:pPr>
      <w:spacing w:after="100"/>
      <w:ind w:left="1100"/>
    </w:pPr>
  </w:style>
  <w:style w:type="paragraph" w:styleId="Verzeichnis7">
    <w:name w:val="toc 7"/>
    <w:basedOn w:val="Standard"/>
    <w:next w:val="Standard"/>
    <w:uiPriority w:val="39"/>
    <w:unhideWhenUsed/>
    <w:pPr>
      <w:spacing w:after="100"/>
      <w:ind w:left="1320"/>
    </w:pPr>
  </w:style>
  <w:style w:type="paragraph" w:styleId="Verzeichnis8">
    <w:name w:val="toc 8"/>
    <w:basedOn w:val="Standard"/>
    <w:next w:val="Standard"/>
    <w:uiPriority w:val="39"/>
    <w:unhideWhenUsed/>
    <w:pPr>
      <w:spacing w:after="100"/>
      <w:ind w:left="1540"/>
    </w:pPr>
  </w:style>
  <w:style w:type="paragraph" w:styleId="Verzeichnis9">
    <w:name w:val="toc 9"/>
    <w:basedOn w:val="Standard"/>
    <w:next w:val="Standard"/>
    <w:uiPriority w:val="39"/>
    <w:unhideWhenUsed/>
    <w:pPr>
      <w:spacing w:after="100"/>
      <w:ind w:left="1760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  <w:style w:type="paragraph" w:customStyle="1" w:styleId="F10C3545753C4F0BB6980A37D76F9E43">
    <w:name w:val="F10C3545753C4F0BB6980A37D76F9E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942</Words>
  <Characters>5936</Characters>
  <Application>Microsoft Office Word</Application>
  <DocSecurity>0</DocSecurity>
  <Lines>49</Lines>
  <Paragraphs>13</Paragraphs>
  <ScaleCrop>false</ScaleCrop>
  <Company/>
  <LinksUpToDate>false</LinksUpToDate>
  <CharactersWithSpaces>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 Helbing</dc:creator>
  <cp:keywords/>
  <dc:description/>
  <cp:lastModifiedBy>Philipp Pelzer</cp:lastModifiedBy>
  <cp:revision>65</cp:revision>
  <dcterms:created xsi:type="dcterms:W3CDTF">2023-09-07T06:58:00Z</dcterms:created>
  <dcterms:modified xsi:type="dcterms:W3CDTF">2026-04-20T10:44:00Z</dcterms:modified>
</cp:coreProperties>
</file>