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241344">
      <w:pPr>
        <w:pStyle w:val="StandardBA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3632" behindDoc="0" locked="0" layoutInCell="0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13335</wp:posOffset>
                </wp:positionV>
                <wp:extent cx="2319655" cy="7226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722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E45AB">
                            <w:pPr>
                              <w:pStyle w:val="StandardBA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Betriebsanweisung</w:t>
                            </w:r>
                          </w:p>
                          <w:p w:rsidR="00000000" w:rsidRDefault="00FE45AB">
                            <w:pPr>
                              <w:pStyle w:val="StandardBA"/>
                              <w:jc w:val="center"/>
                            </w:pPr>
                            <w:r>
                              <w:rPr>
                                <w:b/>
                              </w:rPr>
                              <w:t>Gläserspülmaschine</w:t>
                            </w:r>
                          </w:p>
                        </w:txbxContent>
                      </wps:txbx>
                      <wps:bodyPr rot="0" vert="horz" wrap="square" lIns="93345" tIns="47625" rIns="9334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pt;margin-top:1.05pt;width:182.65pt;height:56.9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" o:allowincell="f" stroked="f">
                <v:fill opacity="0"/>
                <v:textbox inset="7.35pt,3.75pt,7.35pt,3.75pt">
                  <w:txbxContent>
                    <w:p w:rsidR="00000000" w:rsidRDefault="00FE45AB">
                      <w:pPr>
                        <w:pStyle w:val="StandardBA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Betriebsanweisung</w:t>
                      </w:r>
                    </w:p>
                    <w:p w:rsidR="00000000" w:rsidRDefault="00FE45AB">
                      <w:pPr>
                        <w:pStyle w:val="StandardBA"/>
                        <w:jc w:val="center"/>
                      </w:pPr>
                      <w:r>
                        <w:rPr>
                          <w:b/>
                        </w:rPr>
                        <w:t>Gläserspülmaschine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-15240</wp:posOffset>
                </wp:positionV>
                <wp:extent cx="6964680" cy="903795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037955"/>
                        </a:xfrm>
                        <a:prstGeom prst="rect">
                          <a:avLst/>
                        </a:prstGeom>
                        <a:noFill/>
                        <a:ln w="76320" cap="flat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210C" id="Rectangle 3" o:spid="_x0000_s1026" style="position:absolute;margin-left:-3.75pt;margin-top:-1.2pt;width:548.4pt;height:711.6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" o:allowincell="f" filled="f" strokecolor="blue" strokeweight="2.12mm"/>
            </w:pict>
          </mc:Fallback>
        </mc:AlternateContent>
      </w:r>
      <w:r w:rsidR="00FE45AB">
        <w:t>Nummer:</w:t>
      </w:r>
      <w:r w:rsidR="00FE45AB">
        <w:tab/>
        <w:t>3</w:t>
      </w:r>
      <w:r>
        <w:rPr>
          <w:noProof/>
        </w:rPr>
        <w:drawing>
          <wp:anchor distT="0" distB="0" distL="0" distR="0" simplePos="0" relativeHeight="251661824" behindDoc="0" locked="0" layoutInCell="0" allowOverlap="1">
            <wp:simplePos x="0" y="0"/>
            <wp:positionH relativeFrom="column">
              <wp:posOffset>5738495</wp:posOffset>
            </wp:positionH>
            <wp:positionV relativeFrom="paragraph">
              <wp:posOffset>75565</wp:posOffset>
            </wp:positionV>
            <wp:extent cx="1009015" cy="1009015"/>
            <wp:effectExtent l="0" t="0" r="0" b="0"/>
            <wp:wrapSquare wrapText="largest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32" r="-3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E45AB">
      <w:pPr>
        <w:pStyle w:val="StandardBA"/>
      </w:pPr>
      <w:r>
        <w:t>Datum:</w:t>
      </w:r>
      <w:r>
        <w:tab/>
        <w:t>19.09.20….</w:t>
      </w:r>
    </w:p>
    <w:p w:rsidR="00000000" w:rsidRDefault="00FE45AB">
      <w:pPr>
        <w:pStyle w:val="StandardBA"/>
        <w:rPr>
          <w:sz w:val="16"/>
        </w:rPr>
      </w:pPr>
      <w:r>
        <w:t xml:space="preserve">Verantwortlich: </w:t>
      </w:r>
    </w:p>
    <w:p w:rsidR="00000000" w:rsidRDefault="00FE45AB">
      <w:pPr>
        <w:pStyle w:val="StandardBA"/>
        <w:rPr>
          <w:sz w:val="16"/>
        </w:rPr>
      </w:pPr>
    </w:p>
    <w:p w:rsidR="00000000" w:rsidRDefault="00FE45AB">
      <w:pPr>
        <w:pStyle w:val="StandardBA"/>
        <w:rPr>
          <w:b/>
          <w:i/>
          <w:color w:val="FF0000"/>
        </w:rPr>
      </w:pPr>
      <w:r>
        <w:t>Arbeitsplatz/Tätigkeitsbereich</w:t>
      </w:r>
      <w:r>
        <w:tab/>
      </w:r>
      <w:r>
        <w:tab/>
      </w:r>
      <w:r>
        <w:tab/>
      </w:r>
      <w:r>
        <w:rPr>
          <w:b/>
          <w:i/>
          <w:color w:val="FF0000"/>
        </w:rPr>
        <w:t>Service</w:t>
      </w:r>
    </w:p>
    <w:p w:rsidR="00000000" w:rsidRDefault="00FE45AB">
      <w:pPr>
        <w:pStyle w:val="StandardBA"/>
        <w:ind w:left="2836"/>
        <w:rPr>
          <w:b/>
          <w:i/>
          <w:color w:val="FF0000"/>
        </w:rPr>
      </w:pPr>
    </w:p>
    <w:p w:rsidR="00000000" w:rsidRDefault="00FE45AB">
      <w:pPr>
        <w:pStyle w:val="StandardBA"/>
        <w:ind w:left="2836"/>
        <w:rPr>
          <w:b/>
          <w:i/>
          <w:color w:val="FF0000"/>
        </w:rPr>
      </w:pPr>
    </w:p>
    <w:tbl>
      <w:tblPr>
        <w:tblW w:w="0" w:type="auto"/>
        <w:tblInd w:w="-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186"/>
        <w:gridCol w:w="3987"/>
        <w:gridCol w:w="4678"/>
        <w:gridCol w:w="1023"/>
        <w:gridCol w:w="38"/>
      </w:tblGrid>
      <w:tr w:rsidR="00000000"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pStyle w:val="Tabellenberschrift"/>
              <w:snapToGrid w:val="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snapToGrid w:val="0"/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jc w:val="center"/>
            </w:pPr>
            <w:r>
              <w:rPr>
                <w:b/>
                <w:color w:val="FFFFFF"/>
                <w:sz w:val="28"/>
              </w:rPr>
              <w:t>1. Anwendungsbereich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snapToGrid w:val="0"/>
              <w:rPr>
                <w:b/>
                <w:color w:val="FFFFFF"/>
                <w:sz w:val="28"/>
              </w:rPr>
            </w:pPr>
          </w:p>
        </w:tc>
      </w:tr>
      <w:tr w:rsidR="00000000"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b/>
                <w:color w:val="FFFFFF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StandardBA"/>
              <w:snapToGrid w:val="0"/>
              <w:rPr>
                <w:b/>
                <w:color w:val="FFFFFF"/>
                <w:sz w:val="28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FormatvorlageAnwendungsbereich"/>
            </w:pPr>
            <w:r>
              <w:rPr>
                <w:sz w:val="20"/>
              </w:rPr>
              <w:t>Diese Betriebsanweisung gilt für Tätigkeiten an Gläserspülmaschinen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StandardBA"/>
              <w:snapToGrid w:val="0"/>
              <w:rPr>
                <w:sz w:val="20"/>
              </w:rPr>
            </w:pPr>
          </w:p>
        </w:tc>
      </w:tr>
      <w:tr w:rsidR="00000000"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snapToGrid w:val="0"/>
              <w:rPr>
                <w:sz w:val="20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jc w:val="center"/>
            </w:pPr>
            <w:r>
              <w:rPr>
                <w:b/>
                <w:color w:val="FFFFFF"/>
                <w:sz w:val="28"/>
              </w:rPr>
              <w:t>2. Gefahren für Mensch und Umwelt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snapToGrid w:val="0"/>
              <w:rPr>
                <w:b/>
                <w:color w:val="FFFFFF"/>
                <w:sz w:val="28"/>
              </w:rPr>
            </w:pPr>
          </w:p>
        </w:tc>
      </w:tr>
      <w:tr w:rsidR="00000000"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b/>
                <w:color w:val="FFFFFF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1344">
            <w:pPr>
              <w:pStyle w:val="StandardBA"/>
              <w:snapToGrid w:val="0"/>
              <w:jc w:val="center"/>
              <w:rPr>
                <w:b/>
                <w:color w:val="FFFFFF"/>
                <w:sz w:val="20"/>
                <w:lang w:val="de-DE" w:eastAsia="de-DE"/>
              </w:rPr>
            </w:pPr>
            <w:r>
              <w:rPr>
                <w:noProof/>
              </w:rPr>
              <w:drawing>
                <wp:anchor distT="0" distB="0" distL="114935" distR="114935" simplePos="0" relativeHeight="25165670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739775</wp:posOffset>
                  </wp:positionV>
                  <wp:extent cx="655320" cy="569595"/>
                  <wp:effectExtent l="0" t="0" r="0" b="0"/>
                  <wp:wrapNone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8" t="-331" r="-288" b="-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695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95250</wp:posOffset>
                  </wp:positionV>
                  <wp:extent cx="655320" cy="569595"/>
                  <wp:effectExtent l="0" t="0" r="0" b="0"/>
                  <wp:wrapNone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8" t="-331" r="-288" b="-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695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widowControl w:val="0"/>
              <w:snapToGrid w:val="0"/>
              <w:rPr>
                <w:color w:val="000000"/>
                <w:sz w:val="20"/>
                <w:lang w:val="de-DE" w:eastAsia="de-DE"/>
              </w:rPr>
            </w:pPr>
          </w:p>
          <w:p w:rsidR="00000000" w:rsidRDefault="00FE45AB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Es bestehen Gefährdungen</w:t>
            </w:r>
            <w:r>
              <w:rPr>
                <w:color w:val="000000"/>
                <w:sz w:val="20"/>
              </w:rPr>
              <w:t xml:space="preserve"> durch:</w:t>
            </w:r>
          </w:p>
          <w:p w:rsidR="00000000" w:rsidRDefault="00FE45AB">
            <w:pPr>
              <w:widowControl w:val="0"/>
              <w:rPr>
                <w:color w:val="000000"/>
                <w:sz w:val="20"/>
              </w:rPr>
            </w:pPr>
          </w:p>
          <w:p w:rsidR="00000000" w:rsidRDefault="00FE45AB">
            <w:pPr>
              <w:pStyle w:val="FormatvorlageRegeln"/>
              <w:rPr>
                <w:sz w:val="20"/>
              </w:rPr>
            </w:pPr>
            <w:r>
              <w:rPr>
                <w:sz w:val="20"/>
              </w:rPr>
              <w:t>heiße Oberflächen</w:t>
            </w:r>
          </w:p>
          <w:p w:rsidR="00000000" w:rsidRDefault="00FE45AB">
            <w:pPr>
              <w:pStyle w:val="FormatvorlageRegeln"/>
              <w:rPr>
                <w:sz w:val="20"/>
              </w:rPr>
            </w:pPr>
            <w:r>
              <w:rPr>
                <w:sz w:val="20"/>
              </w:rPr>
              <w:t>Kontakt mit heißen Flüssigkeiten und/oder heißem Dampf</w:t>
            </w:r>
          </w:p>
          <w:p w:rsidR="00000000" w:rsidRDefault="00FE45AB">
            <w:pPr>
              <w:pStyle w:val="FormatvorlageRegeln"/>
              <w:rPr>
                <w:sz w:val="20"/>
              </w:rPr>
            </w:pPr>
            <w:r>
              <w:rPr>
                <w:sz w:val="20"/>
              </w:rPr>
              <w:t>unvorsichtiges Hantieren mit Messern, Gläsern und Gabeln</w:t>
            </w:r>
          </w:p>
          <w:p w:rsidR="00000000" w:rsidRDefault="00FE45AB">
            <w:pPr>
              <w:pStyle w:val="FormatvorlageRegeln"/>
              <w:rPr>
                <w:sz w:val="20"/>
              </w:rPr>
            </w:pPr>
            <w:r>
              <w:rPr>
                <w:sz w:val="20"/>
              </w:rPr>
              <w:t xml:space="preserve">die zugeführte Energie (elektrischer Strom) </w:t>
            </w:r>
          </w:p>
          <w:p w:rsidR="00000000" w:rsidRDefault="00FE45AB">
            <w:pPr>
              <w:pStyle w:val="FormatvorlageRegeln"/>
              <w:rPr>
                <w:sz w:val="20"/>
              </w:rPr>
            </w:pPr>
            <w:r>
              <w:rPr>
                <w:sz w:val="20"/>
              </w:rPr>
              <w:t>Sturzgefahr durch Ausrutschen in unmittelbarer Nähe</w:t>
            </w:r>
          </w:p>
          <w:p w:rsidR="00000000" w:rsidRDefault="00FE45AB">
            <w:pPr>
              <w:pStyle w:val="FormatvorlageRegeln"/>
              <w:rPr>
                <w:sz w:val="20"/>
              </w:rPr>
            </w:pPr>
            <w:r>
              <w:rPr>
                <w:sz w:val="20"/>
              </w:rPr>
              <w:t>Gefährdungen durch E</w:t>
            </w:r>
            <w:r>
              <w:rPr>
                <w:sz w:val="20"/>
              </w:rPr>
              <w:t>inwirkung von Reinigungsmittel</w:t>
            </w:r>
          </w:p>
          <w:p w:rsidR="00000000" w:rsidRDefault="00FE45AB">
            <w:pPr>
              <w:pStyle w:val="FormatvorlageRegeln"/>
              <w:numPr>
                <w:ilvl w:val="0"/>
                <w:numId w:val="0"/>
              </w:numPr>
              <w:ind w:left="227"/>
              <w:rPr>
                <w:sz w:val="2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1344">
            <w:pPr>
              <w:pStyle w:val="StandardBA"/>
              <w:snapToGrid w:val="0"/>
              <w:rPr>
                <w:sz w:val="20"/>
                <w:lang w:val="de-DE" w:eastAsia="de-DE"/>
              </w:rPr>
            </w:pPr>
            <w:r>
              <w:rPr>
                <w:noProof/>
              </w:rPr>
              <w:drawing>
                <wp:anchor distT="0" distB="0" distL="114935" distR="114935" simplePos="0" relativeHeight="251660800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78740</wp:posOffset>
                  </wp:positionV>
                  <wp:extent cx="664845" cy="569595"/>
                  <wp:effectExtent l="0" t="0" r="0" b="0"/>
                  <wp:wrapNone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5" t="-333" r="-285" b="-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5695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0000">
        <w:trPr>
          <w:cantSplit/>
        </w:trPr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sz w:val="20"/>
                <w:lang w:val="de-DE" w:eastAsia="de-DE"/>
              </w:rPr>
            </w:pPr>
          </w:p>
        </w:tc>
        <w:tc>
          <w:tcPr>
            <w:tcW w:w="10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jc w:val="center"/>
            </w:pPr>
            <w:r>
              <w:rPr>
                <w:b/>
                <w:color w:val="FFFFFF"/>
                <w:sz w:val="28"/>
              </w:rPr>
              <w:t>3. Schutzmaßnahmen und Verhaltensregeln</w:t>
            </w:r>
          </w:p>
        </w:tc>
      </w:tr>
      <w:tr w:rsidR="00000000"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b/>
                <w:color w:val="FFFFFF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1344">
            <w:pPr>
              <w:pStyle w:val="StandardBA"/>
              <w:snapToGrid w:val="0"/>
              <w:rPr>
                <w:b/>
                <w:color w:val="FFFFFF"/>
                <w:sz w:val="28"/>
                <w:lang w:val="de-DE" w:eastAsia="de-DE"/>
              </w:rPr>
            </w:pPr>
            <w:r>
              <w:rPr>
                <w:noProof/>
              </w:rPr>
              <w:drawing>
                <wp:anchor distT="0" distB="0" distL="114935" distR="114935" simplePos="0" relativeHeight="251659776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180975</wp:posOffset>
                  </wp:positionV>
                  <wp:extent cx="607695" cy="1236345"/>
                  <wp:effectExtent l="0" t="0" r="0" b="0"/>
                  <wp:wrapNone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1" t="-153" r="-311" b="-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12363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FormatvorlageRegeln"/>
              <w:numPr>
                <w:ilvl w:val="0"/>
                <w:numId w:val="0"/>
              </w:numPr>
              <w:snapToGrid w:val="0"/>
              <w:ind w:left="227"/>
              <w:rPr>
                <w:b/>
                <w:color w:val="FFFFFF"/>
                <w:sz w:val="20"/>
                <w:lang w:val="de-DE" w:eastAsia="de-DE"/>
              </w:rPr>
            </w:pP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>Die Geschirrspülmaschine darf nur von unterwiesenen Personen benutzt werden.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>Die Bedienungsanleitung des Herstellers ist zu beachten.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 xml:space="preserve">Das Bedienungspersonal ist verpflichtet, </w:t>
            </w:r>
            <w:r>
              <w:rPr>
                <w:sz w:val="20"/>
              </w:rPr>
              <w:t>auf Ordnung und Sauberkeit am Arbeitsplatz zu achten.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>Es dürfen keine Betriebsstoffe eingefüllt werden, die nicht vom Maschinenhersteller freigegeben worden sind.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>Benutzen Sie die für Küchenarbeitsplätze vorgeschriebene Schutzausrüstung sowohl zu Ihrem eig</w:t>
            </w:r>
            <w:r>
              <w:rPr>
                <w:sz w:val="20"/>
              </w:rPr>
              <w:t>enen Schutz als auch aus hygienischen Gründen.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>Warten Sie nach Beendigung des Spülprogramms, ehe Sie die Tür öffnen.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16"/>
              </w:rPr>
            </w:pPr>
            <w:r>
              <w:rPr>
                <w:sz w:val="20"/>
              </w:rPr>
              <w:t>Tür langsam öffnen und Wasserdampf vorsichtig abziehen lassen.</w:t>
            </w:r>
          </w:p>
          <w:p w:rsidR="00000000" w:rsidRDefault="00FE45AB">
            <w:pPr>
              <w:pStyle w:val="FormatvorlageRegeln"/>
              <w:numPr>
                <w:ilvl w:val="0"/>
                <w:numId w:val="0"/>
              </w:numPr>
              <w:rPr>
                <w:sz w:val="16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StandardBA"/>
              <w:snapToGrid w:val="0"/>
              <w:rPr>
                <w:sz w:val="16"/>
              </w:rPr>
            </w:pPr>
          </w:p>
        </w:tc>
      </w:tr>
      <w:tr w:rsidR="00000000">
        <w:trPr>
          <w:cantSplit/>
        </w:trPr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sz w:val="16"/>
              </w:rPr>
            </w:pPr>
          </w:p>
        </w:tc>
        <w:tc>
          <w:tcPr>
            <w:tcW w:w="10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jc w:val="center"/>
            </w:pPr>
            <w:r>
              <w:rPr>
                <w:b/>
                <w:color w:val="FFFFFF"/>
                <w:sz w:val="28"/>
              </w:rPr>
              <w:t>4. Verhalten bei Störungen</w:t>
            </w:r>
          </w:p>
        </w:tc>
      </w:tr>
      <w:tr w:rsidR="00000000"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b/>
                <w:color w:val="FFFFFF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1344">
            <w:pPr>
              <w:pStyle w:val="StandardBA"/>
              <w:snapToGrid w:val="0"/>
              <w:rPr>
                <w:b/>
                <w:color w:val="FFFFFF"/>
                <w:sz w:val="28"/>
                <w:lang w:val="de-DE" w:eastAsia="de-DE"/>
              </w:rPr>
            </w:pPr>
            <w:r>
              <w:rPr>
                <w:noProof/>
              </w:rPr>
              <w:drawing>
                <wp:anchor distT="0" distB="0" distL="114935" distR="114935" simplePos="0" relativeHeight="251658752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147955</wp:posOffset>
                  </wp:positionV>
                  <wp:extent cx="577215" cy="582295"/>
                  <wp:effectExtent l="0" t="0" r="0" b="0"/>
                  <wp:wrapNone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9" t="-258" r="-259" b="-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822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E45AB">
            <w:pPr>
              <w:pStyle w:val="FormatvorlageRegeln"/>
              <w:numPr>
                <w:ilvl w:val="0"/>
                <w:numId w:val="0"/>
              </w:numPr>
              <w:snapToGrid w:val="0"/>
              <w:ind w:left="227"/>
              <w:rPr>
                <w:b/>
                <w:color w:val="FFFFFF"/>
                <w:sz w:val="20"/>
                <w:lang w:val="de-DE" w:eastAsia="de-DE"/>
              </w:rPr>
            </w:pP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>Das Gerät bei Störungen sofort abschalte</w:t>
            </w:r>
            <w:r>
              <w:rPr>
                <w:sz w:val="20"/>
              </w:rPr>
              <w:t>n, sichern und die Aufsicht führende Person informieren.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>Reparaturen sind grundsätzlich nur vom Kundendienst durchzuführen.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>Das Gerät umgehend vom Netz nehmen.</w:t>
            </w:r>
          </w:p>
          <w:p w:rsidR="00000000" w:rsidRDefault="00FE45AB">
            <w:pPr>
              <w:pStyle w:val="FormatvorlageRegeln"/>
              <w:numPr>
                <w:ilvl w:val="0"/>
                <w:numId w:val="0"/>
              </w:numPr>
              <w:ind w:left="227"/>
              <w:rPr>
                <w:sz w:val="2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StandardBA"/>
              <w:snapToGrid w:val="0"/>
              <w:rPr>
                <w:sz w:val="20"/>
              </w:rPr>
            </w:pPr>
          </w:p>
        </w:tc>
      </w:tr>
      <w:tr w:rsidR="00000000">
        <w:trPr>
          <w:cantSplit/>
        </w:trPr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sz w:val="20"/>
              </w:rPr>
            </w:pPr>
          </w:p>
        </w:tc>
        <w:tc>
          <w:tcPr>
            <w:tcW w:w="10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jc w:val="center"/>
            </w:pPr>
            <w:r>
              <w:rPr>
                <w:b/>
                <w:color w:val="FFFFFF"/>
                <w:sz w:val="28"/>
              </w:rPr>
              <w:t>5. Erste Hilfe</w:t>
            </w:r>
          </w:p>
        </w:tc>
      </w:tr>
      <w:tr w:rsidR="00000000"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b/>
                <w:color w:val="FFFFFF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1344">
            <w:pPr>
              <w:pStyle w:val="StandardBA"/>
              <w:snapToGrid w:val="0"/>
              <w:rPr>
                <w:b/>
                <w:color w:val="FFFFFF"/>
                <w:sz w:val="28"/>
                <w:lang w:val="de-DE" w:eastAsia="de-DE"/>
              </w:rPr>
            </w:pPr>
            <w:r>
              <w:rPr>
                <w:noProof/>
              </w:rPr>
              <w:drawing>
                <wp:anchor distT="0" distB="0" distL="114935" distR="114935" simplePos="0" relativeHeight="251655680" behindDoc="0" locked="0" layoutInCell="0" allowOverlap="1">
                  <wp:simplePos x="0" y="0"/>
                  <wp:positionH relativeFrom="margin">
                    <wp:posOffset>63500</wp:posOffset>
                  </wp:positionH>
                  <wp:positionV relativeFrom="paragraph">
                    <wp:posOffset>182245</wp:posOffset>
                  </wp:positionV>
                  <wp:extent cx="569595" cy="569595"/>
                  <wp:effectExtent l="0" t="0" r="0" b="0"/>
                  <wp:wrapNone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5" t="-105" r="-105" b="-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FormatvorlageRegeln"/>
              <w:numPr>
                <w:ilvl w:val="0"/>
                <w:numId w:val="0"/>
              </w:numPr>
              <w:snapToGrid w:val="0"/>
              <w:ind w:left="227"/>
              <w:rPr>
                <w:b/>
                <w:color w:val="FFFFFF"/>
                <w:sz w:val="20"/>
                <w:lang w:val="de-DE" w:eastAsia="de-DE"/>
              </w:rPr>
            </w:pP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sz w:val="20"/>
              </w:rPr>
              <w:t>Ruhe bewahren,</w:t>
            </w:r>
            <w:r>
              <w:rPr>
                <w:sz w:val="20"/>
              </w:rPr>
              <w:t xml:space="preserve"> den Vorgesetzten informieren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>Ersthelfer heranziehen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>Notru</w:t>
            </w:r>
            <w:r>
              <w:rPr>
                <w:b/>
                <w:color w:val="FF0000"/>
                <w:sz w:val="20"/>
              </w:rPr>
              <w:t>f:  112</w:t>
            </w:r>
          </w:p>
          <w:p w:rsidR="00000000" w:rsidRDefault="00FE45AB">
            <w:pPr>
              <w:pStyle w:val="FormatvorlageRegeln"/>
              <w:tabs>
                <w:tab w:val="left" w:pos="232"/>
              </w:tabs>
              <w:rPr>
                <w:sz w:val="16"/>
              </w:rPr>
            </w:pPr>
            <w:r>
              <w:rPr>
                <w:sz w:val="20"/>
              </w:rPr>
              <w:t>Unfall melden</w:t>
            </w:r>
          </w:p>
          <w:p w:rsidR="00000000" w:rsidRDefault="00FE45AB">
            <w:pPr>
              <w:pStyle w:val="FormatvorlageRegeln"/>
              <w:numPr>
                <w:ilvl w:val="0"/>
                <w:numId w:val="0"/>
              </w:numPr>
              <w:rPr>
                <w:sz w:val="16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StandardBA"/>
              <w:snapToGrid w:val="0"/>
              <w:rPr>
                <w:sz w:val="16"/>
              </w:rPr>
            </w:pPr>
          </w:p>
        </w:tc>
      </w:tr>
      <w:tr w:rsidR="00000000">
        <w:trPr>
          <w:cantSplit/>
        </w:trPr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sz w:val="16"/>
              </w:rPr>
            </w:pPr>
          </w:p>
        </w:tc>
        <w:tc>
          <w:tcPr>
            <w:tcW w:w="10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000000" w:rsidRDefault="00FE45AB">
            <w:pPr>
              <w:pStyle w:val="StandardBA"/>
              <w:jc w:val="center"/>
            </w:pPr>
            <w:r>
              <w:rPr>
                <w:b/>
                <w:color w:val="FFFFFF"/>
                <w:sz w:val="28"/>
              </w:rPr>
              <w:t>6. Instandhaltung</w:t>
            </w:r>
          </w:p>
        </w:tc>
      </w:tr>
      <w:tr w:rsidR="00000000">
        <w:tc>
          <w:tcPr>
            <w:tcW w:w="38" w:type="dxa"/>
            <w:shd w:val="clear" w:color="auto" w:fill="auto"/>
            <w:tcMar>
              <w:left w:w="0" w:type="dxa"/>
              <w:right w:w="0" w:type="dxa"/>
            </w:tcMar>
          </w:tcPr>
          <w:p w:rsidR="00000000" w:rsidRDefault="00FE45AB">
            <w:pPr>
              <w:snapToGrid w:val="0"/>
              <w:rPr>
                <w:b/>
                <w:color w:val="FFFFFF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StandardBA"/>
              <w:snapToGrid w:val="0"/>
              <w:rPr>
                <w:b/>
                <w:color w:val="FFFFFF"/>
                <w:sz w:val="28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FormatvorlageRegeln"/>
              <w:numPr>
                <w:ilvl w:val="0"/>
                <w:numId w:val="0"/>
              </w:numPr>
              <w:snapToGrid w:val="0"/>
              <w:ind w:left="227"/>
              <w:rPr>
                <w:b/>
                <w:color w:val="FFFFFF"/>
                <w:sz w:val="20"/>
              </w:rPr>
            </w:pPr>
          </w:p>
          <w:p w:rsidR="00000000" w:rsidRDefault="00FE45AB">
            <w:pPr>
              <w:pStyle w:val="FormatvorlageRegeln"/>
              <w:rPr>
                <w:sz w:val="20"/>
              </w:rPr>
            </w:pPr>
            <w:r>
              <w:rPr>
                <w:sz w:val="20"/>
              </w:rPr>
              <w:t>Mängel sind umgehend dem Lehrer bzw. Vorgesetzten zu melden</w:t>
            </w:r>
          </w:p>
          <w:p w:rsidR="00000000" w:rsidRDefault="00FE45AB">
            <w:pPr>
              <w:pStyle w:val="FormatvorlageRegeln"/>
              <w:rPr>
                <w:sz w:val="16"/>
              </w:rPr>
            </w:pPr>
            <w:r>
              <w:rPr>
                <w:sz w:val="20"/>
              </w:rPr>
              <w:t>Instandsetzung nur durch beauftragte und unterwiesene Personen</w:t>
            </w:r>
          </w:p>
          <w:p w:rsidR="00000000" w:rsidRDefault="00FE45AB">
            <w:pPr>
              <w:pStyle w:val="FormatvorlageRegeln"/>
              <w:numPr>
                <w:ilvl w:val="0"/>
                <w:numId w:val="0"/>
              </w:numPr>
              <w:rPr>
                <w:sz w:val="16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E45AB">
            <w:pPr>
              <w:pStyle w:val="StandardBA"/>
              <w:snapToGrid w:val="0"/>
              <w:rPr>
                <w:sz w:val="16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0912" w:type="dxa"/>
            <w:gridSpan w:val="5"/>
            <w:shd w:val="clear" w:color="auto" w:fill="auto"/>
            <w:tcMar>
              <w:left w:w="70" w:type="dxa"/>
              <w:right w:w="70" w:type="dxa"/>
            </w:tcMar>
          </w:tcPr>
          <w:p w:rsidR="00000000" w:rsidRDefault="00FE45AB">
            <w:pPr>
              <w:pStyle w:val="StandardBA"/>
              <w:snapToGrid w:val="0"/>
              <w:rPr>
                <w:sz w:val="16"/>
              </w:rPr>
            </w:pPr>
          </w:p>
        </w:tc>
        <w:tc>
          <w:tcPr>
            <w:tcW w:w="38" w:type="dxa"/>
            <w:shd w:val="clear" w:color="auto" w:fill="auto"/>
          </w:tcPr>
          <w:p w:rsidR="00000000" w:rsidRDefault="00FE45AB">
            <w:pPr>
              <w:snapToGrid w:val="0"/>
              <w:rPr>
                <w:sz w:val="16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5211" w:type="dxa"/>
            <w:gridSpan w:val="3"/>
            <w:shd w:val="clear" w:color="auto" w:fill="auto"/>
            <w:tcMar>
              <w:left w:w="70" w:type="dxa"/>
              <w:right w:w="70" w:type="dxa"/>
            </w:tcMar>
          </w:tcPr>
          <w:p w:rsidR="00000000" w:rsidRDefault="00FE45AB">
            <w:pPr>
              <w:pStyle w:val="StandardBA"/>
            </w:pPr>
            <w:r>
              <w:t>Datum: 19.09.20….</w:t>
            </w:r>
          </w:p>
          <w:p w:rsidR="00000000" w:rsidRDefault="00FE45AB">
            <w:pPr>
              <w:pStyle w:val="StandardBA"/>
            </w:pPr>
          </w:p>
          <w:p w:rsidR="00000000" w:rsidRDefault="00FE45AB">
            <w:pPr>
              <w:pStyle w:val="StandardBA"/>
            </w:pPr>
            <w:r>
              <w:rPr>
                <w:b/>
                <w:color w:val="FF0000"/>
              </w:rPr>
              <w:t>Jährliche Überprüfung im Juli</w:t>
            </w:r>
          </w:p>
        </w:tc>
        <w:tc>
          <w:tcPr>
            <w:tcW w:w="5701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000000" w:rsidRDefault="00FE45AB">
            <w:pPr>
              <w:pStyle w:val="StandardBA"/>
            </w:pPr>
            <w:r>
              <w:t>Unterschrift:</w:t>
            </w:r>
            <w:r>
              <w:br/>
            </w:r>
          </w:p>
          <w:p w:rsidR="00000000" w:rsidRDefault="00FE45AB">
            <w:pPr>
              <w:pStyle w:val="StandardBA"/>
            </w:pPr>
            <w:r>
              <w:t>………………………………………</w:t>
            </w:r>
            <w:r>
              <w:t>………………….</w:t>
            </w:r>
          </w:p>
        </w:tc>
        <w:tc>
          <w:tcPr>
            <w:tcW w:w="38" w:type="dxa"/>
            <w:shd w:val="clear" w:color="auto" w:fill="auto"/>
          </w:tcPr>
          <w:p w:rsidR="00000000" w:rsidRDefault="00FE45AB">
            <w:pPr>
              <w:snapToGrid w:val="0"/>
            </w:pPr>
          </w:p>
        </w:tc>
      </w:tr>
    </w:tbl>
    <w:p w:rsidR="00FE45AB" w:rsidRDefault="00FE45AB">
      <w:pPr>
        <w:tabs>
          <w:tab w:val="left" w:pos="4155"/>
        </w:tabs>
      </w:pPr>
    </w:p>
    <w:sectPr w:rsidR="00FE45AB">
      <w:footerReference w:type="default" r:id="rId14"/>
      <w:footerReference w:type="first" r:id="rId15"/>
      <w:pgSz w:w="11906" w:h="16838"/>
      <w:pgMar w:top="567" w:right="567" w:bottom="79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5AB" w:rsidRDefault="00FE45AB">
      <w:r>
        <w:separator/>
      </w:r>
    </w:p>
  </w:endnote>
  <w:endnote w:type="continuationSeparator" w:id="0">
    <w:p w:rsidR="00FE45AB" w:rsidRDefault="00FE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E45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E45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5AB" w:rsidRDefault="00FE45AB">
      <w:r>
        <w:separator/>
      </w:r>
    </w:p>
  </w:footnote>
  <w:footnote w:type="continuationSeparator" w:id="0">
    <w:p w:rsidR="00FE45AB" w:rsidRDefault="00FE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30"/>
    <w:rsid w:val="00241344"/>
    <w:rsid w:val="00F14B30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296F58-784F-4D48-9BFD-6FDBB609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textAlignment w:val="baseline"/>
    </w:pPr>
    <w:rPr>
      <w:rFonts w:ascii="Arial" w:hAnsi="Arial" w:cs="Arial"/>
      <w:sz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jc w:val="center"/>
      <w:outlineLvl w:val="4"/>
    </w:pPr>
    <w:rPr>
      <w:b/>
      <w:i/>
      <w:color w:val="FF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16"/>
    </w:rPr>
  </w:style>
  <w:style w:type="character" w:customStyle="1" w:styleId="WW8Num4z0">
    <w:name w:val="WW8Num4z0"/>
    <w:rPr>
      <w:rFonts w:ascii="Symbol" w:hAnsi="Symbol" w:cs="Symbol" w:hint="default"/>
      <w:color w:val="000000"/>
      <w:sz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color w:val="00000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000000"/>
      <w:sz w:val="2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000000"/>
      <w:sz w:val="24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sz w:val="20"/>
      <w:szCs w:val="2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St12z0">
    <w:name w:val="WW8NumSt12z0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Funotenzeichen1">
    <w:name w:val="Fußnotenzeichen1"/>
    <w:rPr>
      <w:vertAlign w:val="superscript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rPr>
      <w:sz w:val="20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Umschlagadresse">
    <w:name w:val="envelope address"/>
    <w:basedOn w:val="Standard"/>
    <w:pPr>
      <w:ind w:left="2835"/>
    </w:pPr>
  </w:style>
  <w:style w:type="paragraph" w:styleId="Umschlagabsenderadresse">
    <w:name w:val="envelope return"/>
    <w:basedOn w:val="Standard"/>
    <w:rPr>
      <w:sz w:val="20"/>
    </w:rPr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rPr>
      <w:sz w:val="20"/>
    </w:rPr>
  </w:style>
  <w:style w:type="paragraph" w:customStyle="1" w:styleId="Textkrper21">
    <w:name w:val="Textkörper 21"/>
    <w:basedOn w:val="Standard"/>
    <w:pPr>
      <w:jc w:val="center"/>
    </w:pPr>
    <w:rPr>
      <w:b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andardBA">
    <w:name w:val="Standard_BA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FormatvorlageAnwendungsbereich">
    <w:name w:val="Formatvorlage_Anwendungsbereich"/>
    <w:basedOn w:val="StandardBA"/>
    <w:rPr>
      <w:b/>
    </w:rPr>
  </w:style>
  <w:style w:type="paragraph" w:customStyle="1" w:styleId="FormatvorlageRegeln">
    <w:name w:val="Formatvorlage_Regeln"/>
    <w:basedOn w:val="StandardBA"/>
    <w:pPr>
      <w:numPr>
        <w:numId w:val="2"/>
      </w:numPr>
    </w:pPr>
  </w:style>
  <w:style w:type="paragraph" w:customStyle="1" w:styleId="Rahmeninhalt">
    <w:name w:val="Rahmeninhalt"/>
    <w:basedOn w:val="Standard"/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Blankoforlage Maschinen-Betriebsanweisung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Blankoforlage Maschinen-Betriebsanweisung</dc:title>
  <dc:subject/>
  <dc:creator>BGN</dc:creator>
  <cp:keywords/>
  <cp:lastModifiedBy>Stark, Alfred</cp:lastModifiedBy>
  <cp:revision>2</cp:revision>
  <cp:lastPrinted>2018-04-17T09:16:00Z</cp:lastPrinted>
  <dcterms:created xsi:type="dcterms:W3CDTF">2024-04-09T12:02:00Z</dcterms:created>
  <dcterms:modified xsi:type="dcterms:W3CDTF">2024-04-09T12:02:00Z</dcterms:modified>
</cp:coreProperties>
</file>