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Erstellung von Dienstplänen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b/>
          <w:bCs/>
          <w:color w:val="ed7d31" w:themeColor="accent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876300" cy="876300"/>
                <wp:effectExtent l="0" t="0" r="0" b="0"/>
                <wp:wrapSquare wrapText="bothSides"/>
                <wp:docPr id="1" name="Grafik 1" descr="Ein Bild, das Keksausstecher, Design, Typografie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048470" name="Grafik 1" descr="Ein Bild, das Keksausstecher, Design, Typografie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76299" cy="876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7216;o:allowoverlap:true;o:allowincell:true;mso-position-horizontal-relative:text;margin-left:-0.35pt;mso-position-horizontal:absolute;mso-position-vertical-relative:text;margin-top:14.90pt;mso-position-vertical:absolute;width:69.00pt;height:69.0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t xml:space="preserve">Rechtliche Grundlagen</w:t>
      </w:r>
      <w:r>
        <w:rPr>
          <w:b/>
          <w:bCs/>
          <w:color w:val="833c0b" w:themeColor="accent2" w:themeShade="80"/>
        </w:rPr>
      </w:r>
      <w:r>
        <w:rPr>
          <w:b/>
          <w:bCs/>
          <w:color w:val="833c0b" w:themeColor="accent2" w:themeShade="80"/>
        </w:rPr>
      </w:r>
    </w:p>
    <w:p>
      <w:pPr>
        <w:pBdr/>
        <w:spacing/>
        <w:ind/>
        <w:rPr/>
      </w:pPr>
      <w:r>
        <w:t xml:space="preserve">Sie haben in Politik und Gesellschaft gesetzliche </w:t>
      </w:r>
      <w:r>
        <w:t xml:space="preserve">Regelungen</w:t>
      </w:r>
      <w:r>
        <w:t xml:space="preserve"> </w:t>
      </w:r>
      <w:r>
        <w:t xml:space="preserve">für die Arbeitszeiten </w:t>
      </w:r>
      <w:r>
        <w:t xml:space="preserve">kennen gelern</w:t>
      </w:r>
      <w:r>
        <w:t xml:space="preserve">t. </w:t>
      </w:r>
      <w:r>
        <w:t xml:space="preserve">Hierbei sind hauptsächlich zwei Gesetze wichtig</w:t>
      </w:r>
      <w:r>
        <w:t xml:space="preserve">. Tragen Sie die für die Dienstplanerstellung notwendigen Regelungen zusamme</w:t>
      </w:r>
      <w:r>
        <w:t xml:space="preserve">n.</w:t>
      </w:r>
      <w:r/>
    </w:p>
    <w:p>
      <w:pPr>
        <w:pBdr/>
        <w:spacing/>
        <w:ind/>
        <w:rPr>
          <w:sz w:val="8"/>
          <w:szCs w:val="8"/>
        </w:rPr>
      </w:pPr>
      <w:r>
        <w:t xml:space="preserve"> </w:t>
      </w:r>
      <w:r>
        <w:rPr>
          <w:sz w:val="8"/>
          <w:szCs w:val="8"/>
        </w:rPr>
        <w:t xml:space="preserve">(Bildquelle:</w:t>
      </w:r>
      <w:r>
        <w:rPr>
          <w:sz w:val="8"/>
          <w:szCs w:val="8"/>
        </w:rPr>
        <w:t xml:space="preserve"> </w:t>
      </w:r>
      <w:hyperlink r:id="rId11" w:tooltip="https://pixabay.com/de/users/geralt-9301/?utm_source=link-attribution&amp;utm_medium=referral&amp;utm_campaign=image&amp;utm_content=684509" w:history="1">
        <w:r>
          <w:rPr>
            <w:rStyle w:val="879"/>
            <w:sz w:val="8"/>
            <w:szCs w:val="8"/>
          </w:rPr>
          <w:t xml:space="preserve">Gerd Altmann</w:t>
        </w:r>
      </w:hyperlink>
      <w:r>
        <w:rPr>
          <w:sz w:val="8"/>
          <w:szCs w:val="8"/>
        </w:rPr>
        <w:t xml:space="preserve"> auf </w:t>
      </w:r>
      <w:hyperlink r:id="rId12" w:tooltip="https://pixabay.com/de/?utm_source=link-attribution&amp;utm_medium=referral&amp;utm_campaign=image&amp;utm_content=684509" w:history="1">
        <w:r>
          <w:rPr>
            <w:rStyle w:val="879"/>
            <w:sz w:val="8"/>
            <w:szCs w:val="8"/>
          </w:rPr>
          <w:t xml:space="preserve">Pixabay</w:t>
        </w:r>
      </w:hyperlink>
      <w:r>
        <w:rPr>
          <w:sz w:val="8"/>
          <w:szCs w:val="8"/>
        </w:rPr>
        <w:t xml:space="preserve">)</w:t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Arbeitszeitgesetz</w:t>
      </w:r>
      <w:r>
        <w:rPr>
          <w:b/>
          <w:bCs/>
          <w:color w:val="00b050"/>
          <w:sz w:val="28"/>
          <w:szCs w:val="28"/>
        </w:rPr>
      </w:r>
      <w:r>
        <w:rPr>
          <w:b/>
          <w:bCs/>
          <w:color w:val="00b050"/>
          <w:sz w:val="28"/>
          <w:szCs w:val="28"/>
        </w:rPr>
      </w:r>
    </w:p>
    <w:p>
      <w:pPr>
        <w:pBdr/>
        <w:spacing/>
        <w:ind/>
        <w:rPr>
          <w:b/>
          <w:bCs/>
        </w:rPr>
      </w:pPr>
      <w:r/>
      <w:hyperlink r:id="rId13" w:tooltip="https://www.gesetze-im-internet.de/arbzg/BJNR117100994.html" w:history="1">
        <w:r>
          <w:rPr>
            <w:rStyle w:val="879"/>
            <w:b/>
            <w:bCs/>
          </w:rPr>
          <w:t xml:space="preserve">https://www.gesetze-im-internet.de/arbzg/BJNR117100994.html</w:t>
        </w:r>
      </w:hyperlink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Das Arbeitszeitgesetz enthält Regelungen für Erwachsene Mitarbeiter</w:t>
      </w:r>
      <w:r>
        <w:rPr>
          <w:b/>
          <w:bCs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t xml:space="preserve">Informieren Sie sich im Arbeitszeitgesetz</w:t>
      </w:r>
      <w:r>
        <w:t xml:space="preserve">. Notieren Sie unten </w:t>
      </w:r>
      <w:r>
        <w:t xml:space="preserve">die entsprechenden Regelungen und geben Sie auch mögliche Ausnahmen an.</w:t>
      </w:r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A</w:t>
      </w:r>
      <w:r>
        <w:rPr>
          <w:b/>
          <w:bCs/>
          <w:i/>
          <w:iCs/>
        </w:rPr>
        <w:t xml:space="preserve">rbeitszeiten: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>
          <w:bottom w:val="single" w:color="000000" w:sz="4" w:space="1"/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ottom w:val="single" w:color="000000" w:sz="4" w:space="1"/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Maximal 8 Stunden pro Werktag, mit der Möglichkeit auf 10 Stunden zu verlängern,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ottom w:val="single" w:color="000000" w:sz="4" w:space="1"/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sofern der Durchschnitt von 8 Stunden innerhalb von 24 Wochen oder 6 Monaten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ottom w:val="single" w:color="000000" w:sz="4" w:space="1"/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nicht überschritten wird (§3 ArbZG).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ottom w:val="single" w:color="000000" w:sz="4" w:space="1"/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ottom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Pausen und Ruhezeiten: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Pausen: Mindestens 30 Minuten bei einer Arbeitszeit von über 6 bis 9 Stunden,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bzw. 45 Minuten bei mehr als 9 Stunden Arbeit (§4 ArbZG).</w:t>
      </w:r>
      <w:r>
        <w:rPr>
          <w:i/>
          <w:iCs/>
          <w:color w:val="70ad47" w:themeColor="accent6"/>
        </w:rPr>
        <w:t xml:space="preserve">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Pausen</w:t>
      </w:r>
      <w:r>
        <w:rPr>
          <w:i/>
          <w:iCs/>
          <w:color w:val="70ad47" w:themeColor="accent6"/>
        </w:rPr>
        <w:t xml:space="preserve"> können in Abschnitte von jeweils mindestens 15 Minuten aufgeteilt werden.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Ruhezeiten: Mindestens 11 Stunden Ruhezeit nach dem Arbeitsende (§5 ArbZG).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Sonn- und Feiertagsarbeit: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rStyle w:val="881"/>
          <w:i/>
          <w:iCs/>
          <w:color w:val="70ad47" w:themeColor="accent6"/>
        </w:rPr>
        <w:t xml:space="preserve">Grundsätzliches Verbot</w:t>
      </w:r>
      <w:r>
        <w:rPr>
          <w:i/>
          <w:iCs/>
          <w:color w:val="70ad47" w:themeColor="accent6"/>
        </w:rPr>
        <w:t xml:space="preserve"> mit Ausnahmemöglichkeiten für die Gastronomie.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i/>
          <w:iCs/>
          <w:color w:val="70ad47" w:themeColor="accent6"/>
        </w:rPr>
        <w:t xml:space="preserve">Arbeit an Sonn- und Feiertagen erfordert einen Ersatzruhetag (§9 ArbZG, §11 ArbZG).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Jugendarbeitsschutzgesetz</w:t>
      </w:r>
      <w:r>
        <w:rPr>
          <w:b/>
          <w:bCs/>
          <w:color w:val="00b050"/>
          <w:sz w:val="28"/>
          <w:szCs w:val="28"/>
        </w:rPr>
      </w:r>
      <w:r>
        <w:rPr>
          <w:b/>
          <w:bCs/>
          <w:color w:val="00b050"/>
          <w:sz w:val="28"/>
          <w:szCs w:val="28"/>
        </w:rPr>
      </w:r>
    </w:p>
    <w:p>
      <w:pPr>
        <w:pBdr/>
        <w:spacing/>
        <w:ind/>
        <w:rPr>
          <w:b/>
          <w:bCs/>
        </w:rPr>
      </w:pPr>
      <w:r/>
      <w:hyperlink r:id="rId14" w:tooltip="https://www.gesetze-im-internet.de/jarbschg/" w:history="1">
        <w:r>
          <w:rPr>
            <w:rStyle w:val="879"/>
            <w:b/>
            <w:bCs/>
          </w:rPr>
          <w:t xml:space="preserve">https://www.gesetze-im-internet.de/jarbschg/</w:t>
        </w:r>
      </w:hyperlink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t xml:space="preserve">Informieren Sie sich im </w:t>
      </w:r>
      <w:r>
        <w:t xml:space="preserve">Jugendarbeitsschutz</w:t>
      </w:r>
      <w:r>
        <w:t xml:space="preserve">gesetz. Notieren Sie unten die entsprechenden Regelungen und geben Sie auch mögliche Ausnahmen an.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Arbeitszeiten: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Jugendliche dürfen maximal 8 Stunden täglich und 40 Stunden wöchentlich arbeiten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(§8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Unter bestimmten Voraussetzungen ist Mehrarbeit erlaubt,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 jedoch darf die Arbeitszeit inklusive Mehrarbeit 8,5 Stunden täglich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nicht überschreiten (§8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</w:t>
      </w:r>
      <w:r>
        <w:rPr>
          <w:i/>
          <w:iCs/>
          <w:color w:val="70ad47" w:themeColor="accent6"/>
        </w:rPr>
        <w:t xml:space="preserve">In der Gastronomie dürfen</w:t>
      </w:r>
      <w:r>
        <w:rPr>
          <w:i/>
          <w:iCs/>
          <w:color w:val="70ad47" w:themeColor="accent6"/>
        </w:rPr>
        <w:t xml:space="preserve"> Jugendliche in der Nachtzeit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i/>
          <w:iCs/>
          <w:color w:val="70ad47" w:themeColor="accent6"/>
        </w:rPr>
        <w:t xml:space="preserve">zwischen 2</w:t>
      </w:r>
      <w:r>
        <w:rPr>
          <w:i/>
          <w:iCs/>
          <w:color w:val="70ad47" w:themeColor="accent6"/>
        </w:rPr>
        <w:t xml:space="preserve">2</w:t>
      </w:r>
      <w:r>
        <w:rPr>
          <w:i/>
          <w:iCs/>
          <w:color w:val="70ad47" w:themeColor="accent6"/>
        </w:rPr>
        <w:t xml:space="preserve"> Uhr und 6 Uhr </w:t>
      </w:r>
      <w:r>
        <w:rPr>
          <w:i/>
          <w:iCs/>
          <w:color w:val="70ad47" w:themeColor="accent6"/>
        </w:rPr>
        <w:t xml:space="preserve">nicht arbeiten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Pausen und Ruhezeiten: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/>
        <w:spacing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Bei einer Arbeitszeit von mehr als 4,5 Stunden müssen Jugendliche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eine Pause von mindestens 30 Minuten haben.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Bei einer Arbeitszeit von mehr als 6 Stunden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ist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mindestens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60 Minuten Pause vorgeschrieben (§11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Jugendliche müssen nach Beendigung der täglichen Arbeitszeit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eine ununterbrochene Ruhezeit von mindestens 12 Stunden haben (§13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</w:rPr>
      </w:pPr>
      <w:r>
        <w:rPr>
          <w:rStyle w:val="881"/>
        </w:rPr>
      </w:r>
      <w:r>
        <w:rPr>
          <w:rStyle w:val="881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Sonn- und Feiertagsarbeit: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Bdr/>
        <w:spacing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Jugendliche dürfen an Sonn- und gesetzlichen Feiertagen nicht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beschäftigt werden (§16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Eine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Ausnahme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gibt es für das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Gastgewerbe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.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bCs/>
          <w:i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Allerdings </w:t>
      </w:r>
      <w:r>
        <w:rPr>
          <w:i/>
          <w:iCs/>
          <w:color w:val="70ad47" w:themeColor="accent6"/>
        </w:rPr>
        <w:t xml:space="preserve">soll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</w:t>
      </w:r>
      <w:r>
        <w:rPr>
          <w:i/>
          <w:iCs/>
          <w:color w:val="70ad47" w:themeColor="accent6"/>
        </w:rPr>
        <w:t xml:space="preserve">j</w:t>
      </w:r>
      <w:r>
        <w:rPr>
          <w:i/>
          <w:iCs/>
          <w:color w:val="70ad47" w:themeColor="accent6"/>
        </w:rPr>
        <w:t xml:space="preserve">eder zweite Sonntag, mindestens zwei Sonntage im Monat müssen </w:t>
      </w:r>
      <w:r>
        <w:rPr>
          <w:i/>
          <w:iCs/>
          <w:color w:val="70ad47" w:themeColor="accent6"/>
        </w:rPr>
      </w:r>
      <w:r>
        <w:rPr>
          <w:bCs/>
          <w:i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i/>
          <w:iCs/>
          <w:color w:val="70ad47" w:themeColor="accent6"/>
        </w:rPr>
        <w:t xml:space="preserve">beschäftigungsfrei bleiben.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(§17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Arbeitet ein Jugendlicher ausnahmsweise an einem Sonn- oder Feiertag, muss ihm ein 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  <w:b w:val="0"/>
          <w:bCs w:val="0"/>
          <w:i/>
          <w:iCs/>
          <w:color w:val="70ad47" w:themeColor="accent6"/>
        </w:rPr>
      </w:pPr>
      <w:r>
        <w:rPr>
          <w:rStyle w:val="881"/>
          <w:b w:val="0"/>
          <w:bCs w:val="0"/>
          <w:i/>
          <w:iCs/>
          <w:color w:val="70ad47" w:themeColor="accent6"/>
        </w:rPr>
        <w:t xml:space="preserve">Ersatzruhetag innerhalb von zwei Wochen gewährt werden (§17 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JArbSchG</w:t>
      </w:r>
      <w:r>
        <w:rPr>
          <w:rStyle w:val="881"/>
          <w:b w:val="0"/>
          <w:bCs w:val="0"/>
          <w:i/>
          <w:iCs/>
          <w:color w:val="70ad47" w:themeColor="accent6"/>
        </w:rPr>
        <w:t xml:space="preserve">).</w:t>
      </w:r>
      <w:r>
        <w:rPr>
          <w:rStyle w:val="881"/>
          <w:b w:val="0"/>
          <w:bCs w:val="0"/>
          <w:i/>
          <w:iCs/>
          <w:color w:val="70ad47" w:themeColor="accent6"/>
        </w:rPr>
      </w:r>
      <w:r>
        <w:rPr>
          <w:rStyle w:val="881"/>
          <w:b w:val="0"/>
          <w:bCs w:val="0"/>
          <w:i/>
          <w:iCs/>
          <w:color w:val="70ad47" w:themeColor="accent6"/>
        </w:rPr>
      </w:r>
    </w:p>
    <w:p>
      <w:pPr>
        <w:pBdr>
          <w:between w:val="single" w:color="000000" w:sz="4" w:space="1"/>
        </w:pBdr>
        <w:spacing w:line="360" w:lineRule="auto"/>
        <w:ind/>
        <w:rPr>
          <w:rStyle w:val="881"/>
        </w:rPr>
      </w:pPr>
      <w:r>
        <w:rPr>
          <w:rStyle w:val="881"/>
        </w:rPr>
      </w:r>
      <w:r>
        <w:rPr>
          <w:rStyle w:val="881"/>
        </w:rPr>
      </w:r>
    </w:p>
    <w:sectPr>
      <w:headerReference w:type="default" r:id="rId9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872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14: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72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8"/>
    <w:next w:val="868"/>
    <w:link w:val="6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69"/>
    <w:link w:val="6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868"/>
    <w:next w:val="868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69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9">
    <w:name w:val="Heading 3"/>
    <w:basedOn w:val="868"/>
    <w:next w:val="868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69"/>
    <w:link w:val="6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868"/>
    <w:next w:val="868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9"/>
    <w:link w:val="7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8"/>
    <w:next w:val="868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9"/>
    <w:link w:val="7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8"/>
    <w:next w:val="868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8"/>
    <w:next w:val="868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8"/>
    <w:next w:val="868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9"/>
    <w:link w:val="7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8"/>
    <w:next w:val="86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9"/>
    <w:link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pBdr/>
      <w:spacing w:after="0" w:before="0" w:line="240" w:lineRule="auto"/>
      <w:ind/>
    </w:pPr>
  </w:style>
  <w:style w:type="paragraph" w:styleId="714">
    <w:name w:val="Title"/>
    <w:basedOn w:val="868"/>
    <w:next w:val="868"/>
    <w:link w:val="7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5">
    <w:name w:val="Title Char"/>
    <w:basedOn w:val="869"/>
    <w:link w:val="714"/>
    <w:uiPriority w:val="10"/>
    <w:pPr>
      <w:pBdr/>
      <w:spacing/>
      <w:ind/>
    </w:pPr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7">
    <w:name w:val="Subtitle Char"/>
    <w:basedOn w:val="869"/>
    <w:link w:val="716"/>
    <w:uiPriority w:val="11"/>
    <w:pPr>
      <w:pBdr/>
      <w:spacing/>
      <w:ind/>
    </w:pPr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pBdr/>
      <w:spacing/>
      <w:ind w:right="720" w:left="720"/>
    </w:pPr>
    <w:rPr>
      <w:i/>
    </w:rPr>
  </w:style>
  <w:style w:type="character" w:styleId="719">
    <w:name w:val="Quote Char"/>
    <w:link w:val="718"/>
    <w:uiPriority w:val="29"/>
    <w:pPr>
      <w:pBdr/>
      <w:spacing/>
      <w:ind/>
    </w:pPr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1">
    <w:name w:val="Intense Quote Char"/>
    <w:link w:val="720"/>
    <w:uiPriority w:val="30"/>
    <w:pPr>
      <w:pBdr/>
      <w:spacing/>
      <w:ind/>
    </w:pPr>
    <w:rPr>
      <w:i/>
    </w:rPr>
  </w:style>
  <w:style w:type="character" w:styleId="722">
    <w:name w:val="Header Char"/>
    <w:basedOn w:val="869"/>
    <w:link w:val="872"/>
    <w:uiPriority w:val="99"/>
    <w:pPr>
      <w:pBdr/>
      <w:spacing/>
      <w:ind/>
    </w:pPr>
  </w:style>
  <w:style w:type="character" w:styleId="723">
    <w:name w:val="Footer Char"/>
    <w:basedOn w:val="869"/>
    <w:link w:val="874"/>
    <w:uiPriority w:val="99"/>
    <w:pPr>
      <w:pBdr/>
      <w:spacing/>
      <w:ind/>
    </w:pPr>
  </w:style>
  <w:style w:type="paragraph" w:styleId="724">
    <w:name w:val="Caption"/>
    <w:basedOn w:val="868"/>
    <w:next w:val="8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74"/>
    <w:uiPriority w:val="99"/>
    <w:pPr>
      <w:pBdr/>
      <w:spacing/>
      <w:ind/>
    </w:pPr>
  </w:style>
  <w:style w:type="table" w:styleId="726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2">
    <w:name w:val="Footnote Text Char"/>
    <w:link w:val="851"/>
    <w:uiPriority w:val="99"/>
    <w:pPr>
      <w:pBdr/>
      <w:spacing/>
      <w:ind/>
    </w:pPr>
    <w:rPr>
      <w:sz w:val="18"/>
    </w:rPr>
  </w:style>
  <w:style w:type="character" w:styleId="853">
    <w:name w:val="footnote reference"/>
    <w:basedOn w:val="869"/>
    <w:uiPriority w:val="99"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5">
    <w:name w:val="Endnote Text Char"/>
    <w:link w:val="854"/>
    <w:uiPriority w:val="99"/>
    <w:pPr>
      <w:pBdr/>
      <w:spacing/>
      <w:ind/>
    </w:pPr>
    <w:rPr>
      <w:sz w:val="20"/>
    </w:rPr>
  </w:style>
  <w:style w:type="character" w:styleId="856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pBdr/>
      <w:spacing w:after="57"/>
      <w:ind w:right="0" w:firstLine="0" w:left="0"/>
    </w:pPr>
  </w:style>
  <w:style w:type="paragraph" w:styleId="858">
    <w:name w:val="toc 2"/>
    <w:basedOn w:val="868"/>
    <w:next w:val="868"/>
    <w:uiPriority w:val="39"/>
    <w:unhideWhenUsed/>
    <w:pPr>
      <w:pBdr/>
      <w:spacing w:after="57"/>
      <w:ind w:right="0" w:firstLine="0" w:left="283"/>
    </w:pPr>
  </w:style>
  <w:style w:type="paragraph" w:styleId="859">
    <w:name w:val="toc 3"/>
    <w:basedOn w:val="868"/>
    <w:next w:val="868"/>
    <w:uiPriority w:val="39"/>
    <w:unhideWhenUsed/>
    <w:pPr>
      <w:pBdr/>
      <w:spacing w:after="57"/>
      <w:ind w:right="0" w:firstLine="0" w:left="567"/>
    </w:pPr>
  </w:style>
  <w:style w:type="paragraph" w:styleId="860">
    <w:name w:val="toc 4"/>
    <w:basedOn w:val="868"/>
    <w:next w:val="868"/>
    <w:uiPriority w:val="39"/>
    <w:unhideWhenUsed/>
    <w:pPr>
      <w:pBdr/>
      <w:spacing w:after="57"/>
      <w:ind w:right="0" w:firstLine="0" w:left="850"/>
    </w:pPr>
  </w:style>
  <w:style w:type="paragraph" w:styleId="861">
    <w:name w:val="toc 5"/>
    <w:basedOn w:val="868"/>
    <w:next w:val="868"/>
    <w:uiPriority w:val="39"/>
    <w:unhideWhenUsed/>
    <w:pPr>
      <w:pBdr/>
      <w:spacing w:after="57"/>
      <w:ind w:right="0" w:firstLine="0" w:left="1134"/>
    </w:pPr>
  </w:style>
  <w:style w:type="paragraph" w:styleId="862">
    <w:name w:val="toc 6"/>
    <w:basedOn w:val="868"/>
    <w:next w:val="868"/>
    <w:uiPriority w:val="39"/>
    <w:unhideWhenUsed/>
    <w:pPr>
      <w:pBdr/>
      <w:spacing w:after="57"/>
      <w:ind w:right="0" w:firstLine="0" w:left="1417"/>
    </w:pPr>
  </w:style>
  <w:style w:type="paragraph" w:styleId="863">
    <w:name w:val="toc 7"/>
    <w:basedOn w:val="868"/>
    <w:next w:val="868"/>
    <w:uiPriority w:val="39"/>
    <w:unhideWhenUsed/>
    <w:pPr>
      <w:pBdr/>
      <w:spacing w:after="57"/>
      <w:ind w:right="0" w:firstLine="0" w:left="1701"/>
    </w:pPr>
  </w:style>
  <w:style w:type="paragraph" w:styleId="864">
    <w:name w:val="toc 8"/>
    <w:basedOn w:val="868"/>
    <w:next w:val="868"/>
    <w:uiPriority w:val="39"/>
    <w:unhideWhenUsed/>
    <w:pPr>
      <w:pBdr/>
      <w:spacing w:after="57"/>
      <w:ind w:right="0" w:firstLine="0" w:left="1984"/>
    </w:pPr>
  </w:style>
  <w:style w:type="paragraph" w:styleId="865">
    <w:name w:val="toc 9"/>
    <w:basedOn w:val="868"/>
    <w:next w:val="868"/>
    <w:uiPriority w:val="39"/>
    <w:unhideWhenUsed/>
    <w:pPr>
      <w:pBdr/>
      <w:spacing w:after="57"/>
      <w:ind w:right="0" w:firstLine="0" w:left="2268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paragraph" w:styleId="872">
    <w:name w:val="Header"/>
    <w:basedOn w:val="86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3" w:customStyle="1">
    <w:name w:val="Kopfzeile Zchn"/>
    <w:basedOn w:val="869"/>
    <w:link w:val="872"/>
    <w:uiPriority w:val="99"/>
    <w:pPr>
      <w:pBdr/>
      <w:spacing/>
      <w:ind/>
    </w:pPr>
  </w:style>
  <w:style w:type="paragraph" w:styleId="874">
    <w:name w:val="Footer"/>
    <w:basedOn w:val="868"/>
    <w:link w:val="8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5" w:customStyle="1">
    <w:name w:val="Fußzeile Zchn"/>
    <w:basedOn w:val="869"/>
    <w:link w:val="874"/>
    <w:uiPriority w:val="99"/>
    <w:pPr>
      <w:pBdr/>
      <w:spacing/>
      <w:ind/>
    </w:pPr>
  </w:style>
  <w:style w:type="paragraph" w:styleId="876">
    <w:name w:val="List Paragraph"/>
    <w:basedOn w:val="868"/>
    <w:uiPriority w:val="34"/>
    <w:qFormat/>
    <w:pPr>
      <w:pBdr/>
      <w:spacing/>
      <w:ind w:left="720"/>
      <w:contextualSpacing w:val="true"/>
    </w:pPr>
  </w:style>
  <w:style w:type="table" w:styleId="877">
    <w:name w:val="Table Grid"/>
    <w:basedOn w:val="87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apple-converted-space"/>
    <w:basedOn w:val="869"/>
    <w:pPr>
      <w:pBdr/>
      <w:spacing/>
      <w:ind/>
    </w:pPr>
  </w:style>
  <w:style w:type="character" w:styleId="879">
    <w:name w:val="Hyperlink"/>
    <w:basedOn w:val="869"/>
    <w:uiPriority w:val="99"/>
    <w:unhideWhenUsed/>
    <w:pPr>
      <w:pBdr/>
      <w:spacing/>
      <w:ind/>
    </w:pPr>
    <w:rPr>
      <w:color w:val="0000ff"/>
      <w:u w:val="single"/>
    </w:rPr>
  </w:style>
  <w:style w:type="character" w:styleId="880">
    <w:name w:val="Unresolved Mention"/>
    <w:basedOn w:val="8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81">
    <w:name w:val="Strong"/>
    <w:basedOn w:val="869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pixabay.com/de/users/geralt-9301/?utm_source=link-attribution&amp;utm_medium=referral&amp;utm_campaign=image&amp;utm_content=684509" TargetMode="External"/><Relationship Id="rId12" Type="http://schemas.openxmlformats.org/officeDocument/2006/relationships/hyperlink" Target="https://pixabay.com/de/?utm_source=link-attribution&amp;utm_medium=referral&amp;utm_campaign=image&amp;utm_content=684509" TargetMode="External"/><Relationship Id="rId13" Type="http://schemas.openxmlformats.org/officeDocument/2006/relationships/hyperlink" Target="https://www.gesetze-im-internet.de/arbzg/BJNR117100994.html" TargetMode="External"/><Relationship Id="rId14" Type="http://schemas.openxmlformats.org/officeDocument/2006/relationships/hyperlink" Target="https://www.gesetze-im-internet.de/jarbsch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18</cp:revision>
  <dcterms:created xsi:type="dcterms:W3CDTF">2024-02-26T14:29:00Z</dcterms:created>
  <dcterms:modified xsi:type="dcterms:W3CDTF">2024-04-08T13:11:20Z</dcterms:modified>
</cp:coreProperties>
</file>