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2854"/>
        <w:gridCol w:w="826"/>
        <w:gridCol w:w="3229"/>
        <w:gridCol w:w="741"/>
        <w:gridCol w:w="3315"/>
        <w:gridCol w:w="796"/>
        <w:gridCol w:w="3260"/>
      </w:tblGrid>
      <w:tr w:rsidR="00F000B4" w:rsidTr="00F000B4"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B14BEB">
            <w:pPr>
              <w:jc w:val="right"/>
              <w:rPr>
                <w:rFonts w:ascii="Arial" w:hAnsi="Arial" w:cs="Arial"/>
                <w:b/>
                <w:sz w:val="36"/>
              </w:rPr>
            </w:pPr>
            <w:bookmarkStart w:id="0" w:name="_GoBack" w:colFirst="1" w:colLast="3"/>
            <w:r w:rsidRPr="00E45542">
              <w:rPr>
                <w:rFonts w:ascii="Arial" w:hAnsi="Arial" w:cs="Arial"/>
                <w:b/>
                <w:sz w:val="36"/>
              </w:rPr>
              <w:t>Lieferant</w:t>
            </w:r>
          </w:p>
        </w:tc>
        <w:tc>
          <w:tcPr>
            <w:tcW w:w="4055" w:type="dxa"/>
            <w:gridSpan w:val="2"/>
            <w:shd w:val="clear" w:color="auto" w:fill="D9D9D9" w:themeFill="background1" w:themeFillShade="D9"/>
            <w:vAlign w:val="center"/>
          </w:tcPr>
          <w:p w:rsidR="00F000B4" w:rsidRPr="00B14BEB" w:rsidRDefault="00F000B4" w:rsidP="00F000B4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Gewächshaus GmbH</w:t>
            </w:r>
          </w:p>
        </w:tc>
        <w:tc>
          <w:tcPr>
            <w:tcW w:w="4056" w:type="dxa"/>
            <w:gridSpan w:val="2"/>
            <w:shd w:val="clear" w:color="auto" w:fill="D9D9D9" w:themeFill="background1" w:themeFillShade="D9"/>
            <w:vAlign w:val="center"/>
          </w:tcPr>
          <w:p w:rsidR="00F000B4" w:rsidRPr="00B14BEB" w:rsidRDefault="00F000B4" w:rsidP="00B14BEB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Maierhof GmbH</w:t>
            </w:r>
          </w:p>
        </w:tc>
        <w:tc>
          <w:tcPr>
            <w:tcW w:w="4056" w:type="dxa"/>
            <w:gridSpan w:val="2"/>
            <w:shd w:val="clear" w:color="auto" w:fill="D9D9D9" w:themeFill="background1" w:themeFillShade="D9"/>
            <w:vAlign w:val="center"/>
          </w:tcPr>
          <w:p w:rsidR="00F000B4" w:rsidRPr="00B14BEB" w:rsidRDefault="00F000B4" w:rsidP="00B14BEB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Bio-Hofladen Schmidt</w:t>
            </w:r>
          </w:p>
        </w:tc>
      </w:tr>
      <w:bookmarkEnd w:id="0"/>
      <w:tr w:rsidR="00F000B4" w:rsidTr="00A25113">
        <w:trPr>
          <w:trHeight w:val="45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26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 w:rsidRPr="00E45542">
              <w:rPr>
                <w:rFonts w:ascii="Arial" w:hAnsi="Arial" w:cs="Arial"/>
                <w:sz w:val="28"/>
              </w:rPr>
              <w:t>%</w:t>
            </w:r>
          </w:p>
        </w:tc>
        <w:tc>
          <w:tcPr>
            <w:tcW w:w="3229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 w:rsidRPr="00E45542">
              <w:rPr>
                <w:rFonts w:ascii="Arial" w:hAnsi="Arial" w:cs="Arial"/>
                <w:sz w:val="28"/>
              </w:rPr>
              <w:t>€</w:t>
            </w:r>
          </w:p>
        </w:tc>
        <w:tc>
          <w:tcPr>
            <w:tcW w:w="741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 w:rsidRPr="00E45542">
              <w:rPr>
                <w:rFonts w:ascii="Arial" w:hAnsi="Arial" w:cs="Arial"/>
                <w:sz w:val="28"/>
              </w:rPr>
              <w:t>%</w:t>
            </w:r>
          </w:p>
        </w:tc>
        <w:tc>
          <w:tcPr>
            <w:tcW w:w="3315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 w:rsidRPr="00E45542">
              <w:rPr>
                <w:rFonts w:ascii="Arial" w:hAnsi="Arial" w:cs="Arial"/>
                <w:sz w:val="28"/>
              </w:rPr>
              <w:t>€</w:t>
            </w:r>
          </w:p>
        </w:tc>
        <w:tc>
          <w:tcPr>
            <w:tcW w:w="796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 w:rsidRPr="00E45542">
              <w:rPr>
                <w:rFonts w:ascii="Arial" w:hAnsi="Arial" w:cs="Arial"/>
                <w:sz w:val="28"/>
              </w:rPr>
              <w:t>%</w:t>
            </w:r>
          </w:p>
        </w:tc>
        <w:tc>
          <w:tcPr>
            <w:tcW w:w="3260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€</w:t>
            </w: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Listeneinkaufspreis</w:t>
            </w:r>
          </w:p>
        </w:tc>
        <w:tc>
          <w:tcPr>
            <w:tcW w:w="82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20791A" w:rsidRDefault="0018131B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 w:rsidRPr="0020791A"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9,15 (</w:t>
            </w:r>
            <w:r w:rsidR="0020791A" w:rsidRPr="0020791A"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bessere Produkte)</w:t>
            </w:r>
          </w:p>
        </w:tc>
        <w:tc>
          <w:tcPr>
            <w:tcW w:w="741" w:type="dxa"/>
            <w:shd w:val="clear" w:color="auto" w:fill="000000" w:themeFill="text1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20791A" w:rsidRDefault="0020791A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12,</w:t>
            </w:r>
            <w:r w:rsidR="00364704"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4</w:t>
            </w: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0</w:t>
            </w:r>
            <w:r w:rsidR="00364704">
              <w:rPr>
                <w:rFonts w:ascii="Arial" w:hAnsi="Arial" w:cs="Arial"/>
                <w:i/>
                <w:color w:val="538135" w:themeColor="accent6" w:themeShade="BF"/>
                <w:sz w:val="28"/>
              </w:rPr>
              <w:t xml:space="preserve"> </w:t>
            </w:r>
            <w:r w:rsidR="00364704" w:rsidRPr="00364704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(Bio-Salat, Hengstenberg, NL Tomaten)</w:t>
            </w:r>
          </w:p>
        </w:tc>
        <w:tc>
          <w:tcPr>
            <w:tcW w:w="796" w:type="dxa"/>
            <w:shd w:val="clear" w:color="auto" w:fill="000000" w:themeFill="text1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12,24</w:t>
            </w: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- Rabatt</w:t>
            </w:r>
          </w:p>
        </w:tc>
        <w:tc>
          <w:tcPr>
            <w:tcW w:w="826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20791A" w:rsidRDefault="0020791A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(5% ab 250,-€)</w:t>
            </w:r>
          </w:p>
        </w:tc>
        <w:tc>
          <w:tcPr>
            <w:tcW w:w="741" w:type="dxa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 xml:space="preserve">0,52 </w:t>
            </w:r>
            <w:r w:rsidRPr="00364704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(auf einzelne Produkte 10% Werbung)</w:t>
            </w:r>
          </w:p>
        </w:tc>
        <w:tc>
          <w:tcPr>
            <w:tcW w:w="796" w:type="dxa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----</w:t>
            </w: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= Zieleinkaufspreis</w:t>
            </w:r>
          </w:p>
        </w:tc>
        <w:tc>
          <w:tcPr>
            <w:tcW w:w="82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20791A" w:rsidRDefault="0020791A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9,15</w:t>
            </w:r>
          </w:p>
        </w:tc>
        <w:tc>
          <w:tcPr>
            <w:tcW w:w="741" w:type="dxa"/>
            <w:shd w:val="clear" w:color="auto" w:fill="000000" w:themeFill="text1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11,88</w:t>
            </w:r>
          </w:p>
        </w:tc>
        <w:tc>
          <w:tcPr>
            <w:tcW w:w="796" w:type="dxa"/>
            <w:shd w:val="clear" w:color="auto" w:fill="000000" w:themeFill="text1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12,24</w:t>
            </w: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- Skonto</w:t>
            </w:r>
          </w:p>
        </w:tc>
        <w:tc>
          <w:tcPr>
            <w:tcW w:w="826" w:type="dxa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20791A" w:rsidRDefault="0020791A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---</w:t>
            </w:r>
          </w:p>
        </w:tc>
        <w:tc>
          <w:tcPr>
            <w:tcW w:w="741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1,8</w:t>
            </w:r>
          </w:p>
        </w:tc>
        <w:tc>
          <w:tcPr>
            <w:tcW w:w="3315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0,21</w:t>
            </w:r>
          </w:p>
        </w:tc>
        <w:tc>
          <w:tcPr>
            <w:tcW w:w="796" w:type="dxa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---</w:t>
            </w: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= Bareinkaufspreis</w:t>
            </w:r>
          </w:p>
        </w:tc>
        <w:tc>
          <w:tcPr>
            <w:tcW w:w="82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20791A" w:rsidRDefault="0020791A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9,15</w:t>
            </w:r>
          </w:p>
        </w:tc>
        <w:tc>
          <w:tcPr>
            <w:tcW w:w="741" w:type="dxa"/>
            <w:shd w:val="clear" w:color="auto" w:fill="000000" w:themeFill="text1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11,67</w:t>
            </w:r>
          </w:p>
        </w:tc>
        <w:tc>
          <w:tcPr>
            <w:tcW w:w="796" w:type="dxa"/>
            <w:shd w:val="clear" w:color="auto" w:fill="000000" w:themeFill="text1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12,24</w:t>
            </w: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+ Bezugskosten</w:t>
            </w:r>
          </w:p>
        </w:tc>
        <w:tc>
          <w:tcPr>
            <w:tcW w:w="82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20791A" w:rsidRDefault="0020791A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Kostenlose Lieferung</w:t>
            </w:r>
          </w:p>
        </w:tc>
        <w:tc>
          <w:tcPr>
            <w:tcW w:w="741" w:type="dxa"/>
            <w:shd w:val="clear" w:color="auto" w:fill="000000" w:themeFill="text1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Auf Anfrage</w:t>
            </w:r>
          </w:p>
        </w:tc>
        <w:tc>
          <w:tcPr>
            <w:tcW w:w="796" w:type="dxa"/>
            <w:shd w:val="clear" w:color="auto" w:fill="000000" w:themeFill="text1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25,00 (frei Haus ab 150,-€)</w:t>
            </w:r>
          </w:p>
        </w:tc>
      </w:tr>
      <w:tr w:rsidR="00F000B4" w:rsidTr="00A25113">
        <w:trPr>
          <w:trHeight w:val="794"/>
        </w:trPr>
        <w:tc>
          <w:tcPr>
            <w:tcW w:w="2854" w:type="dxa"/>
            <w:shd w:val="clear" w:color="auto" w:fill="D9D9D9" w:themeFill="background1" w:themeFillShade="D9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45542">
              <w:rPr>
                <w:rFonts w:ascii="Arial" w:hAnsi="Arial" w:cs="Arial"/>
                <w:b/>
                <w:sz w:val="28"/>
              </w:rPr>
              <w:t>= Bezugspreis / Einstandspreis</w:t>
            </w:r>
          </w:p>
        </w:tc>
        <w:tc>
          <w:tcPr>
            <w:tcW w:w="826" w:type="dxa"/>
            <w:shd w:val="clear" w:color="auto" w:fill="000000" w:themeFill="text1"/>
            <w:vAlign w:val="center"/>
          </w:tcPr>
          <w:p w:rsidR="00F000B4" w:rsidRPr="00E45542" w:rsidRDefault="00F000B4" w:rsidP="00E45542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29" w:type="dxa"/>
            <w:vAlign w:val="center"/>
          </w:tcPr>
          <w:p w:rsidR="00F000B4" w:rsidRPr="0020791A" w:rsidRDefault="0020791A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9,15</w:t>
            </w:r>
          </w:p>
        </w:tc>
        <w:tc>
          <w:tcPr>
            <w:tcW w:w="741" w:type="dxa"/>
            <w:shd w:val="clear" w:color="auto" w:fill="000000" w:themeFill="text1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315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11,67</w:t>
            </w:r>
          </w:p>
        </w:tc>
        <w:tc>
          <w:tcPr>
            <w:tcW w:w="796" w:type="dxa"/>
            <w:shd w:val="clear" w:color="auto" w:fill="000000" w:themeFill="text1"/>
            <w:vAlign w:val="center"/>
          </w:tcPr>
          <w:p w:rsidR="00F000B4" w:rsidRPr="0020791A" w:rsidRDefault="00F000B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F000B4" w:rsidRPr="0020791A" w:rsidRDefault="00364704" w:rsidP="00E45542">
            <w:pPr>
              <w:jc w:val="center"/>
              <w:rPr>
                <w:rFonts w:ascii="Arial" w:hAnsi="Arial" w:cs="Arial"/>
                <w:i/>
                <w:color w:val="538135" w:themeColor="accent6" w:themeShade="BF"/>
                <w:sz w:val="28"/>
              </w:rPr>
            </w:pPr>
            <w:r>
              <w:rPr>
                <w:rFonts w:ascii="Arial" w:hAnsi="Arial" w:cs="Arial"/>
                <w:i/>
                <w:color w:val="538135" w:themeColor="accent6" w:themeShade="BF"/>
                <w:sz w:val="28"/>
              </w:rPr>
              <w:t>37,24</w:t>
            </w:r>
          </w:p>
        </w:tc>
      </w:tr>
    </w:tbl>
    <w:p w:rsidR="002A6A19" w:rsidRDefault="002A6A1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1020"/>
      </w:tblGrid>
      <w:tr w:rsidR="002A6A19" w:rsidTr="002A6A19">
        <w:tc>
          <w:tcPr>
            <w:tcW w:w="3256" w:type="dxa"/>
            <w:shd w:val="clear" w:color="auto" w:fill="BFBFBF" w:themeFill="background1" w:themeFillShade="BF"/>
            <w:vAlign w:val="center"/>
          </w:tcPr>
          <w:p w:rsidR="002A6A19" w:rsidRPr="002A6A19" w:rsidRDefault="002A6A19" w:rsidP="002A6A1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A6A19">
              <w:rPr>
                <w:rFonts w:ascii="Arial" w:hAnsi="Arial" w:cs="Arial"/>
                <w:b/>
                <w:sz w:val="28"/>
              </w:rPr>
              <w:t>Entscheidung:</w:t>
            </w:r>
          </w:p>
        </w:tc>
        <w:tc>
          <w:tcPr>
            <w:tcW w:w="11021" w:type="dxa"/>
          </w:tcPr>
          <w:p w:rsidR="002A6A19" w:rsidRPr="0018131B" w:rsidRDefault="00327C4B">
            <w:pPr>
              <w:rPr>
                <w:rFonts w:ascii="Arial" w:hAnsi="Arial" w:cs="Arial"/>
                <w:i/>
                <w:color w:val="538135" w:themeColor="accent6" w:themeShade="BF"/>
                <w:sz w:val="24"/>
              </w:rPr>
            </w:pPr>
            <w:r w:rsidRP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Hinweis:</w:t>
            </w:r>
            <w:r w:rsidRP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br/>
              <w:t xml:space="preserve">Da die Angebote unterschiedlich sind, sollten die </w:t>
            </w:r>
            <w:proofErr w:type="spellStart"/>
            <w:r w:rsidRP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SuS</w:t>
            </w:r>
            <w:proofErr w:type="spellEnd"/>
            <w:r w:rsidR="0018131B" w:rsidRP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 xml:space="preserve">, </w:t>
            </w:r>
            <w:r w:rsidRP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um besser vergleichen zu können</w:t>
            </w:r>
            <w:r w:rsidR="0018131B" w:rsidRP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 xml:space="preserve"> sich auf die gleiche zu bestellende Menge bei </w:t>
            </w:r>
            <w:r w:rsid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den</w:t>
            </w:r>
            <w:r w:rsidR="0018131B" w:rsidRP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 xml:space="preserve"> Lieferanten festlegen</w:t>
            </w:r>
            <w:r w:rsid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 xml:space="preserve"> (</w:t>
            </w:r>
            <w:proofErr w:type="spellStart"/>
            <w:r w:rsid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zumind</w:t>
            </w:r>
            <w:proofErr w:type="spellEnd"/>
            <w:r w:rsid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. jeder einzelne Schüler muss den gleichen Bezugswert nehmen)</w:t>
            </w:r>
            <w:r w:rsidR="0018131B" w:rsidRP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 xml:space="preserve">. Außerdem werden </w:t>
            </w:r>
            <w:proofErr w:type="spellStart"/>
            <w:r w:rsidR="0018131B" w:rsidRP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unterschiedl</w:t>
            </w:r>
            <w:proofErr w:type="spellEnd"/>
            <w:r w:rsidR="0018131B" w:rsidRP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. Qualitäten</w:t>
            </w:r>
            <w:r w:rsid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 xml:space="preserve"> und Produkte angeboten, auch hier auf Vergleichbarkeit achten. Falls dies zu schwer ist, können die Angebote entsprechend vereinheitlicht werden. So kann aber gleich zum qualitativen Vergleich übergegangen werden.</w:t>
            </w:r>
            <w:r w:rsidR="0018131B" w:rsidRP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 xml:space="preserve"> </w:t>
            </w:r>
            <w:r w:rsidR="0018131B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Im Beispiel wurde alles mit 1 Stück bzw. 1 kg berechnet.</w:t>
            </w:r>
            <w:r w:rsidR="00364704">
              <w:rPr>
                <w:rFonts w:ascii="Arial" w:hAnsi="Arial" w:cs="Arial"/>
                <w:i/>
                <w:color w:val="538135" w:themeColor="accent6" w:themeShade="BF"/>
                <w:sz w:val="24"/>
              </w:rPr>
              <w:br/>
              <w:t xml:space="preserve">Nur nach dem Preis müsste man sich für die Gewächshaus GmbH entscheiden, aber Qualität, </w:t>
            </w:r>
            <w:proofErr w:type="gramStart"/>
            <w:r w:rsidR="00364704">
              <w:rPr>
                <w:rFonts w:ascii="Arial" w:hAnsi="Arial" w:cs="Arial"/>
                <w:i/>
                <w:color w:val="538135" w:themeColor="accent6" w:themeShade="BF"/>
                <w:sz w:val="24"/>
              </w:rPr>
              <w:t>Bio,?!</w:t>
            </w:r>
            <w:proofErr w:type="gramEnd"/>
          </w:p>
          <w:p w:rsidR="00C25AD6" w:rsidRDefault="00C25AD6">
            <w:pPr>
              <w:rPr>
                <w:rFonts w:ascii="Arial" w:hAnsi="Arial" w:cs="Arial"/>
                <w:sz w:val="24"/>
              </w:rPr>
            </w:pPr>
          </w:p>
          <w:p w:rsidR="00B14BEB" w:rsidRDefault="00B14BEB">
            <w:pPr>
              <w:rPr>
                <w:rFonts w:ascii="Arial" w:hAnsi="Arial" w:cs="Arial"/>
                <w:sz w:val="24"/>
              </w:rPr>
            </w:pPr>
          </w:p>
          <w:p w:rsidR="00B14BEB" w:rsidRDefault="00B14BEB">
            <w:pPr>
              <w:rPr>
                <w:rFonts w:ascii="Arial" w:hAnsi="Arial" w:cs="Arial"/>
                <w:sz w:val="24"/>
              </w:rPr>
            </w:pPr>
          </w:p>
          <w:p w:rsidR="00C25AD6" w:rsidRPr="002A6A19" w:rsidRDefault="00C25AD6">
            <w:pPr>
              <w:rPr>
                <w:rFonts w:ascii="Arial" w:hAnsi="Arial" w:cs="Arial"/>
                <w:sz w:val="24"/>
              </w:rPr>
            </w:pPr>
          </w:p>
        </w:tc>
      </w:tr>
    </w:tbl>
    <w:p w:rsidR="00E92E62" w:rsidRDefault="00E92E62"/>
    <w:sectPr w:rsidR="00E92E62" w:rsidSect="00B14BEB">
      <w:headerReference w:type="default" r:id="rId7"/>
      <w:pgSz w:w="16838" w:h="11906" w:orient="landscape"/>
      <w:pgMar w:top="680" w:right="1418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81E" w:rsidRDefault="0013381E" w:rsidP="00E45542">
      <w:pPr>
        <w:spacing w:after="0" w:line="240" w:lineRule="auto"/>
      </w:pPr>
      <w:r>
        <w:separator/>
      </w:r>
    </w:p>
  </w:endnote>
  <w:endnote w:type="continuationSeparator" w:id="0">
    <w:p w:rsidR="0013381E" w:rsidRDefault="0013381E" w:rsidP="00E4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81E" w:rsidRDefault="0013381E" w:rsidP="00E45542">
      <w:pPr>
        <w:spacing w:after="0" w:line="240" w:lineRule="auto"/>
      </w:pPr>
      <w:r>
        <w:separator/>
      </w:r>
    </w:p>
  </w:footnote>
  <w:footnote w:type="continuationSeparator" w:id="0">
    <w:p w:rsidR="0013381E" w:rsidRDefault="0013381E" w:rsidP="00E4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CellSpacing w:w="0" w:type="dxa"/>
      <w:tblInd w:w="182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02"/>
      <w:gridCol w:w="6980"/>
      <w:gridCol w:w="2233"/>
    </w:tblGrid>
    <w:tr w:rsidR="007D7529" w:rsidRPr="00C8001C" w:rsidTr="007D7529">
      <w:trPr>
        <w:trHeight w:val="964"/>
        <w:tblCellSpacing w:w="0" w:type="dxa"/>
      </w:trPr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D7529" w:rsidRPr="00C8001C" w:rsidRDefault="007D7529" w:rsidP="007D7529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bookmarkStart w:id="1" w:name="_Hlk165201350"/>
          <w:r w:rsidRPr="00C8001C">
            <w:rPr>
              <w:rFonts w:ascii="Arial" w:eastAsia="Times New Roman" w:hAnsi="Arial" w:cs="Arial"/>
              <w:color w:val="000000"/>
              <w:lang w:eastAsia="de-DE"/>
            </w:rPr>
            <w:t>Schullogo</w:t>
          </w:r>
        </w:p>
      </w:tc>
      <w:tc>
        <w:tcPr>
          <w:tcW w:w="6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D7529" w:rsidRPr="00C8001C" w:rsidRDefault="007D7529" w:rsidP="007D7529">
          <w:pPr>
            <w:tabs>
              <w:tab w:val="left" w:pos="4537"/>
              <w:tab w:val="left" w:pos="907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  <w:p w:rsidR="007D7529" w:rsidRPr="00C8001C" w:rsidRDefault="007D7529" w:rsidP="007D7529">
          <w:pPr>
            <w:tabs>
              <w:tab w:val="left" w:pos="4537"/>
              <w:tab w:val="left" w:pos="9073"/>
            </w:tabs>
            <w:spacing w:before="80"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Name: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_______________________</w:t>
          </w: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 Klasse: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</w:t>
          </w: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 Datum: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</w:t>
          </w:r>
        </w:p>
        <w:p w:rsidR="007D7529" w:rsidRPr="00C8001C" w:rsidRDefault="007D7529" w:rsidP="007D7529">
          <w:pPr>
            <w:tabs>
              <w:tab w:val="left" w:pos="4537"/>
              <w:tab w:val="left" w:pos="907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de-DE"/>
            </w:rPr>
            <w:t>LF 10 Aufgaben in der Beschaffung wahrnehmen</w:t>
          </w:r>
        </w:p>
        <w:p w:rsidR="007D7529" w:rsidRPr="00C8001C" w:rsidRDefault="007D7529" w:rsidP="007D7529">
          <w:pPr>
            <w:tabs>
              <w:tab w:val="left" w:pos="4537"/>
              <w:tab w:val="left" w:pos="907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</w:tc>
      <w:tc>
        <w:tcPr>
          <w:tcW w:w="22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D7529" w:rsidRPr="00C8001C" w:rsidRDefault="007D7529" w:rsidP="007D7529">
          <w:pPr>
            <w:tabs>
              <w:tab w:val="left" w:pos="4537"/>
              <w:tab w:val="left" w:pos="907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color w:val="000000"/>
              <w:sz w:val="28"/>
              <w:szCs w:val="28"/>
              <w:lang w:eastAsia="de-DE"/>
            </w:rPr>
            <w:t>BTO</w:t>
          </w:r>
        </w:p>
      </w:tc>
    </w:tr>
    <w:bookmarkEnd w:id="1"/>
  </w:tbl>
  <w:p w:rsidR="00B14BEB" w:rsidRDefault="00B14B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526E"/>
    <w:multiLevelType w:val="hybridMultilevel"/>
    <w:tmpl w:val="11C05196"/>
    <w:lvl w:ilvl="0" w:tplc="5F62BF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C2E83"/>
    <w:multiLevelType w:val="hybridMultilevel"/>
    <w:tmpl w:val="6548FA00"/>
    <w:lvl w:ilvl="0" w:tplc="BF68A1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62"/>
    <w:rsid w:val="000206A2"/>
    <w:rsid w:val="0013381E"/>
    <w:rsid w:val="001507BD"/>
    <w:rsid w:val="0018131B"/>
    <w:rsid w:val="0020791A"/>
    <w:rsid w:val="002A6A19"/>
    <w:rsid w:val="002B40F6"/>
    <w:rsid w:val="00327C4B"/>
    <w:rsid w:val="00364704"/>
    <w:rsid w:val="00420BA4"/>
    <w:rsid w:val="00437898"/>
    <w:rsid w:val="00484FE6"/>
    <w:rsid w:val="004E51B0"/>
    <w:rsid w:val="006D0632"/>
    <w:rsid w:val="007D7529"/>
    <w:rsid w:val="00A010AD"/>
    <w:rsid w:val="00A25113"/>
    <w:rsid w:val="00B14BEB"/>
    <w:rsid w:val="00C25AD6"/>
    <w:rsid w:val="00D649DC"/>
    <w:rsid w:val="00E333F7"/>
    <w:rsid w:val="00E45542"/>
    <w:rsid w:val="00E92E62"/>
    <w:rsid w:val="00ED5880"/>
    <w:rsid w:val="00F0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6868"/>
  <w15:chartTrackingRefBased/>
  <w15:docId w15:val="{465836BE-800B-488A-96E3-B66D0E69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5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507B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4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542"/>
  </w:style>
  <w:style w:type="paragraph" w:styleId="Fuzeile">
    <w:name w:val="footer"/>
    <w:basedOn w:val="Standard"/>
    <w:link w:val="FuzeileZchn"/>
    <w:uiPriority w:val="99"/>
    <w:unhideWhenUsed/>
    <w:rsid w:val="00E4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Kraus</dc:creator>
  <cp:keywords/>
  <dc:description/>
  <cp:lastModifiedBy>Mangrich, Ute</cp:lastModifiedBy>
  <cp:revision>4</cp:revision>
  <dcterms:created xsi:type="dcterms:W3CDTF">2024-04-21T16:24:00Z</dcterms:created>
  <dcterms:modified xsi:type="dcterms:W3CDTF">2024-04-28T11:15:00Z</dcterms:modified>
</cp:coreProperties>
</file>