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8" w:line="280" w:lineRule="exact"/>
        <w:ind/>
        <w:jc w:val="center"/>
        <w:rPr>
          <w:rStyle w:val="625"/>
          <w:b/>
        </w:rPr>
      </w:pPr>
      <w:r>
        <w:rPr>
          <w:b/>
        </w:rPr>
      </w:r>
      <w:r>
        <w:rPr>
          <w:rStyle w:val="625"/>
          <w:b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Arbeitsauftrag</w:t>
      </w:r>
      <w:r>
        <w:rPr>
          <w:rFonts w:asciiTheme="minorHAnsi" w:hAnsiTheme="minorHAnsi" w:cstheme="minorHAnsi"/>
          <w:b/>
          <w:sz w:val="32"/>
          <w:szCs w:val="32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</w:r>
      <w:r>
        <w:rPr>
          <w:rFonts w:asciiTheme="minorHAnsi" w:hAnsiTheme="minorHAnsi" w:cstheme="minorHAnsi"/>
          <w:b/>
          <w:sz w:val="32"/>
          <w:szCs w:val="3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Das </w:t>
      </w:r>
      <w:r>
        <w:rPr>
          <w:rFonts w:asciiTheme="minorHAnsi" w:hAnsiTheme="minorHAnsi" w:cstheme="minorHAnsi"/>
          <w:sz w:val="28"/>
          <w:szCs w:val="28"/>
        </w:rPr>
        <w:t xml:space="preserve">Verkaufsgespräch</w:t>
      </w:r>
      <w:r>
        <w:rPr>
          <w:rFonts w:asciiTheme="minorHAnsi" w:hAnsiTheme="minorHAnsi" w:cstheme="minorHAnsi"/>
          <w:sz w:val="28"/>
          <w:szCs w:val="28"/>
        </w:rPr>
        <w:t xml:space="preserve"> ist ein </w:t>
      </w:r>
      <w:r>
        <w:rPr>
          <w:rFonts w:asciiTheme="minorHAnsi" w:hAnsiTheme="minorHAnsi" w:cstheme="minorHAnsi"/>
          <w:sz w:val="28"/>
          <w:szCs w:val="28"/>
        </w:rPr>
        <w:t xml:space="preserve">wichtiger Bestandteil des Kochberufs</w:t>
      </w:r>
      <w:r>
        <w:rPr>
          <w:rFonts w:asciiTheme="minorHAnsi" w:hAnsiTheme="minorHAnsi" w:cstheme="minorHAnsi"/>
          <w:sz w:val="28"/>
          <w:szCs w:val="28"/>
        </w:rPr>
        <w:t xml:space="preserve">. Bereite</w:t>
      </w:r>
      <w:r>
        <w:rPr>
          <w:rFonts w:asciiTheme="minorHAnsi" w:hAnsiTheme="minorHAnsi" w:cstheme="minorHAnsi"/>
          <w:sz w:val="28"/>
          <w:szCs w:val="28"/>
        </w:rPr>
        <w:t xml:space="preserve">n Sie sich</w:t>
      </w:r>
      <w:r>
        <w:rPr>
          <w:rFonts w:asciiTheme="minorHAnsi" w:hAnsiTheme="minorHAnsi" w:cstheme="minorHAnsi"/>
          <w:sz w:val="28"/>
          <w:szCs w:val="28"/>
        </w:rPr>
        <w:t xml:space="preserve"> also gut darauf vor.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Sie können</w:t>
      </w:r>
      <w:r>
        <w:rPr>
          <w:rFonts w:asciiTheme="minorHAnsi" w:hAnsiTheme="minorHAnsi" w:cstheme="minorHAnsi"/>
          <w:sz w:val="28"/>
          <w:szCs w:val="28"/>
        </w:rPr>
        <w:t xml:space="preserve"> sogar Unterlagen in </w:t>
      </w:r>
      <w:r>
        <w:rPr>
          <w:rFonts w:asciiTheme="minorHAnsi" w:hAnsiTheme="minorHAnsi" w:cstheme="minorHAnsi"/>
          <w:sz w:val="28"/>
          <w:szCs w:val="28"/>
        </w:rPr>
        <w:t xml:space="preserve">ein solches</w:t>
      </w:r>
      <w:r>
        <w:rPr>
          <w:rFonts w:asciiTheme="minorHAnsi" w:hAnsiTheme="minorHAnsi" w:cstheme="minorHAnsi"/>
          <w:sz w:val="28"/>
          <w:szCs w:val="28"/>
        </w:rPr>
        <w:t xml:space="preserve"> Gespräch mitnehmen, so dass </w:t>
      </w:r>
      <w:r>
        <w:rPr>
          <w:rFonts w:asciiTheme="minorHAnsi" w:hAnsiTheme="minorHAnsi" w:cstheme="minorHAnsi"/>
          <w:sz w:val="28"/>
          <w:szCs w:val="28"/>
        </w:rPr>
        <w:t xml:space="preserve">Sie</w:t>
      </w:r>
      <w:r>
        <w:rPr>
          <w:rFonts w:asciiTheme="minorHAnsi" w:hAnsiTheme="minorHAnsi" w:cstheme="minorHAnsi"/>
          <w:sz w:val="28"/>
          <w:szCs w:val="28"/>
        </w:rPr>
        <w:t xml:space="preserve"> während des Gespräc</w:t>
      </w:r>
      <w:r>
        <w:rPr>
          <w:rFonts w:asciiTheme="minorHAnsi" w:hAnsiTheme="minorHAnsi" w:cstheme="minorHAnsi"/>
          <w:sz w:val="28"/>
          <w:szCs w:val="28"/>
        </w:rPr>
        <w:t xml:space="preserve">hs einen Leitfaden </w:t>
      </w:r>
      <w:r>
        <w:rPr>
          <w:rFonts w:asciiTheme="minorHAnsi" w:hAnsiTheme="minorHAnsi" w:cstheme="minorHAnsi"/>
          <w:sz w:val="28"/>
          <w:szCs w:val="28"/>
        </w:rPr>
        <w:t xml:space="preserve">und eine Gedächtnisstütze</w:t>
      </w:r>
      <w:r>
        <w:rPr>
          <w:rFonts w:asciiTheme="minorHAnsi" w:hAnsiTheme="minorHAnsi" w:cstheme="minorHAnsi"/>
          <w:sz w:val="28"/>
          <w:szCs w:val="28"/>
        </w:rPr>
        <w:t xml:space="preserve"> zur Hand haben. S</w:t>
      </w:r>
      <w:r>
        <w:rPr>
          <w:rFonts w:asciiTheme="minorHAnsi" w:hAnsiTheme="minorHAnsi" w:cstheme="minorHAnsi"/>
          <w:sz w:val="28"/>
          <w:szCs w:val="28"/>
        </w:rPr>
        <w:t xml:space="preserve">o </w:t>
      </w:r>
      <w:r>
        <w:rPr>
          <w:rFonts w:asciiTheme="minorHAnsi" w:hAnsiTheme="minorHAnsi" w:cstheme="minorHAnsi"/>
          <w:sz w:val="28"/>
          <w:szCs w:val="28"/>
        </w:rPr>
        <w:t xml:space="preserve">vergessen Sie nichts</w:t>
      </w:r>
      <w:r>
        <w:rPr>
          <w:rFonts w:asciiTheme="minorHAnsi" w:hAnsiTheme="minorHAnsi" w:cstheme="minorHAnsi"/>
          <w:sz w:val="28"/>
          <w:szCs w:val="28"/>
        </w:rPr>
        <w:t xml:space="preserve">. Eine anschauliche und gut ausformulierte Mappe kann </w:t>
      </w:r>
      <w:r>
        <w:rPr>
          <w:rFonts w:asciiTheme="minorHAnsi" w:hAnsiTheme="minorHAnsi" w:cstheme="minorHAnsi"/>
          <w:sz w:val="28"/>
          <w:szCs w:val="28"/>
        </w:rPr>
        <w:t xml:space="preserve">Ihnen</w:t>
      </w:r>
      <w:r>
        <w:rPr>
          <w:rFonts w:asciiTheme="minorHAnsi" w:hAnsiTheme="minorHAnsi" w:cstheme="minorHAnsi"/>
          <w:sz w:val="28"/>
          <w:szCs w:val="28"/>
        </w:rPr>
        <w:t xml:space="preserve"> hier sehr helfen.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Aus diesem Grund fertigen </w:t>
      </w:r>
      <w:r>
        <w:rPr>
          <w:rFonts w:asciiTheme="minorHAnsi" w:hAnsiTheme="minorHAnsi" w:cstheme="minorHAnsi"/>
          <w:sz w:val="28"/>
          <w:szCs w:val="28"/>
        </w:rPr>
        <w:t xml:space="preserve">Sie</w:t>
      </w:r>
      <w:r>
        <w:rPr>
          <w:rFonts w:asciiTheme="minorHAnsi" w:hAnsiTheme="minorHAnsi" w:cstheme="minorHAnsi"/>
          <w:sz w:val="28"/>
          <w:szCs w:val="28"/>
        </w:rPr>
        <w:t xml:space="preserve"> am PC eine solche Mappe an. </w:t>
      </w:r>
      <w:r>
        <w:rPr>
          <w:rFonts w:asciiTheme="minorHAnsi" w:hAnsiTheme="minorHAnsi" w:cstheme="minorHAnsi"/>
          <w:sz w:val="28"/>
          <w:szCs w:val="28"/>
        </w:rPr>
        <w:t xml:space="preserve">Diese präsentier</w:t>
      </w:r>
      <w:r>
        <w:rPr>
          <w:rFonts w:asciiTheme="minorHAnsi" w:hAnsiTheme="minorHAnsi" w:cstheme="minorHAnsi"/>
          <w:sz w:val="28"/>
          <w:szCs w:val="28"/>
        </w:rPr>
        <w:t xml:space="preserve">en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Sie</w:t>
      </w:r>
      <w:r>
        <w:rPr>
          <w:rFonts w:asciiTheme="minorHAnsi" w:hAnsiTheme="minorHAnsi" w:cstheme="minorHAnsi"/>
          <w:sz w:val="28"/>
          <w:szCs w:val="28"/>
        </w:rPr>
        <w:t xml:space="preserve"> im Rahmen eines </w:t>
      </w:r>
      <w:r>
        <w:rPr>
          <w:rFonts w:asciiTheme="minorHAnsi" w:hAnsiTheme="minorHAnsi" w:cstheme="minorHAnsi"/>
          <w:sz w:val="28"/>
          <w:szCs w:val="28"/>
        </w:rPr>
        <w:t xml:space="preserve">Verkaufsgesprächs.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numPr>
          <w:ilvl w:val="0"/>
          <w:numId w:val="1"/>
        </w:num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Fertige</w:t>
      </w:r>
      <w:r>
        <w:rPr>
          <w:rFonts w:asciiTheme="minorHAnsi" w:hAnsiTheme="minorHAnsi" w:cstheme="minorHAnsi"/>
          <w:sz w:val="28"/>
          <w:szCs w:val="28"/>
        </w:rPr>
        <w:t xml:space="preserve">n Sie</w:t>
      </w:r>
      <w:r>
        <w:rPr>
          <w:rFonts w:asciiTheme="minorHAnsi" w:hAnsiTheme="minorHAnsi" w:cstheme="minorHAnsi"/>
          <w:sz w:val="28"/>
          <w:szCs w:val="28"/>
        </w:rPr>
        <w:t xml:space="preserve"> eine Mappe für das gastorientierte Gespräch an. Achte</w:t>
      </w:r>
      <w:r>
        <w:rPr>
          <w:rFonts w:asciiTheme="minorHAnsi" w:hAnsiTheme="minorHAnsi" w:cstheme="minorHAnsi"/>
          <w:sz w:val="28"/>
          <w:szCs w:val="28"/>
        </w:rPr>
        <w:t xml:space="preserve">n Sie </w:t>
      </w:r>
      <w:bookmarkStart w:id="0" w:name="_GoBack"/>
      <w:r/>
      <w:bookmarkEnd w:id="0"/>
      <w:r>
        <w:rPr>
          <w:rFonts w:asciiTheme="minorHAnsi" w:hAnsiTheme="minorHAnsi" w:cstheme="minorHAnsi"/>
          <w:sz w:val="28"/>
          <w:szCs w:val="28"/>
        </w:rPr>
        <w:t xml:space="preserve">dabei auf folgende Punkte: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numPr>
          <w:ilvl w:val="0"/>
          <w:numId w:val="2"/>
        </w:num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Aussagefähiges Deckblatt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numPr>
          <w:ilvl w:val="0"/>
          <w:numId w:val="2"/>
        </w:num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Ansprechende Menükarte mit Weinempfehlung 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numPr>
          <w:ilvl w:val="0"/>
          <w:numId w:val="2"/>
        </w:num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Aperitif, Digestif und Heißgetränkeempfehlungen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numPr>
          <w:ilvl w:val="0"/>
          <w:numId w:val="2"/>
        </w:num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Menükarten für Sondergruppen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numPr>
          <w:ilvl w:val="0"/>
          <w:numId w:val="2"/>
        </w:num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Vorschläge zur Anordnung der Tische und Angaben zur Bereitstellung der Technik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numPr>
          <w:ilvl w:val="0"/>
          <w:numId w:val="2"/>
        </w:num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Realitätsnahen Menüpreisvorschlag und Zahlungsmöglichkeiten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numPr>
          <w:ilvl w:val="0"/>
          <w:numId w:val="1"/>
        </w:num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Gestalte</w:t>
      </w:r>
      <w:r>
        <w:rPr>
          <w:rFonts w:asciiTheme="minorHAnsi" w:hAnsiTheme="minorHAnsi" w:cstheme="minorHAnsi"/>
          <w:sz w:val="28"/>
          <w:szCs w:val="28"/>
        </w:rPr>
        <w:t xml:space="preserve">n Sie</w:t>
      </w:r>
      <w:r>
        <w:rPr>
          <w:rFonts w:asciiTheme="minorHAnsi" w:hAnsiTheme="minorHAnsi" w:cstheme="minorHAnsi"/>
          <w:sz w:val="28"/>
          <w:szCs w:val="28"/>
        </w:rPr>
        <w:t xml:space="preserve"> die Mappe optisch ansprechend und seriös.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Bdr/>
        <w:spacing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numPr>
          <w:ilvl w:val="0"/>
          <w:numId w:val="1"/>
        </w:num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Bereiten Sie sich auf die Durchführung eines Verkaufsgesprächs im Rollenspiel vor.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</w:r>
    </w:p>
    <w:p>
      <w:pPr>
        <w:pStyle w:val="626"/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658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Veranstaltungsorganisation 12</w:t>
    </w:r>
    <w:r>
      <w:rPr>
        <w:color w:val="000000"/>
      </w:rPr>
    </w:r>
    <w:r>
      <w:rPr>
        <w:color w:val="000000"/>
      </w:rPr>
    </w:r>
  </w:p>
  <w:p>
    <w:pPr>
      <w:pStyle w:val="1_659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12: Speisenangebote für Veranstaltungen gastorientiert planen</w:t>
    </w:r>
    <w:r>
      <w:rPr>
        <w:color w:val="000000"/>
      </w:rPr>
    </w:r>
    <w:r>
      <w:rPr>
        <w:color w:val="000000"/>
      </w:rPr>
    </w:r>
  </w:p>
  <w:p>
    <w:pPr>
      <w:pStyle w:val="1_659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1_660"/>
        <w:rFonts w:ascii="Calibri" w:hAnsi="Calibri"/>
        <w:color w:val="000000"/>
        <w:sz w:val="22"/>
        <w:szCs w:val="22"/>
      </w:rPr>
      <w:t xml:space="preserve"> </w:t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1_660"/>
        <w:rFonts w:ascii="Calibri" w:hAnsi="Calibri"/>
        <w:color w:val="000000"/>
        <w:sz w:val="22"/>
        <w:szCs w:val="22"/>
      </w:rPr>
      <w:t xml:space="preserve"> </w:t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  <w:r>
      <w:rPr>
        <w:color w:val="000000"/>
      </w:rPr>
    </w:r>
  </w:p>
  <w:p>
    <w:pPr>
      <w:pStyle w:val="42"/>
      <w:pBdr/>
      <w:spacing/>
      <w:ind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  <w:p>
    <w:pPr>
      <w:pStyle w:val="4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spacing/>
        <w:ind w:hanging="360" w:left="144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1"/>
    <w:next w:val="62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2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2"/>
    <w:link w:val="44"/>
    <w:uiPriority w:val="99"/>
    <w:pPr>
      <w:pBdr/>
      <w:spacing/>
      <w:ind/>
    </w:pPr>
  </w:style>
  <w:style w:type="paragraph" w:styleId="46">
    <w:name w:val="Caption"/>
    <w:basedOn w:val="621"/>
    <w:next w:val="6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1"/>
    <w:next w:val="62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1"/>
    <w:next w:val="62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1"/>
    <w:next w:val="62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1"/>
    <w:next w:val="62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1"/>
    <w:next w:val="62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1"/>
    <w:next w:val="62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1"/>
    <w:next w:val="62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1"/>
    <w:next w:val="62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paragraph" w:styleId="621" w:default="1">
    <w:name w:val="Normal"/>
    <w:qFormat/>
    <w:pPr>
      <w:widowControl w:val="false"/>
      <w:pBdr/>
      <w:spacing w:after="0" w:line="240" w:lineRule="auto"/>
      <w:ind/>
    </w:pPr>
    <w:rPr>
      <w:rFonts w:ascii="Arial Unicode MS" w:hAnsi="Arial Unicode MS" w:eastAsia="Arial Unicode MS" w:cs="Arial Unicode MS"/>
      <w:color w:val="000000"/>
      <w:sz w:val="24"/>
      <w:szCs w:val="24"/>
      <w:lang w:eastAsia="de-DE" w:bidi="de-DE"/>
    </w:rPr>
  </w:style>
  <w:style w:type="character" w:styleId="622" w:default="1">
    <w:name w:val="Default Paragraph Font"/>
    <w:uiPriority w:val="1"/>
    <w:semiHidden/>
    <w:unhideWhenUsed/>
    <w:pPr>
      <w:pBdr/>
      <w:spacing/>
      <w:ind/>
    </w:pPr>
  </w:style>
  <w:style w:type="table" w:styleId="6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4" w:default="1">
    <w:name w:val="No List"/>
    <w:uiPriority w:val="99"/>
    <w:semiHidden/>
    <w:unhideWhenUsed/>
    <w:pPr>
      <w:pBdr/>
      <w:spacing/>
      <w:ind/>
    </w:pPr>
  </w:style>
  <w:style w:type="character" w:styleId="625" w:customStyle="1">
    <w:name w:val="Fließtext (2)"/>
    <w:basedOn w:val="622"/>
    <w:pPr>
      <w:pBdr/>
      <w:spacing/>
      <w:ind/>
    </w:pPr>
    <w:rPr>
      <w:rFonts w:hint="default" w:ascii="Calibri" w:hAnsi="Calibri" w:eastAsia="Calibri" w:cs="Calibri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de-DE" w:eastAsia="de-DE" w:bidi="de-DE"/>
    </w:rPr>
  </w:style>
  <w:style w:type="paragraph" w:styleId="626">
    <w:name w:val="List Paragraph"/>
    <w:basedOn w:val="621"/>
    <w:uiPriority w:val="34"/>
    <w:qFormat/>
    <w:pPr>
      <w:pBdr/>
      <w:spacing/>
      <w:ind w:left="720"/>
      <w:contextualSpacing w:val="true"/>
    </w:pPr>
  </w:style>
  <w:style w:type="paragraph" w:styleId="1_658" w:customStyle="1">
    <w:name w:val="docdata"/>
    <w:basedOn w:val="86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de-DE" w:bidi="ar-SA"/>
      <w14:ligatures w14:val="none"/>
    </w:rPr>
  </w:style>
  <w:style w:type="paragraph" w:styleId="1_659" w:customStyle="1">
    <w:name w:val="Normal (Web)"/>
    <w:basedOn w:val="867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de-DE" w:bidi="ar-SA"/>
      <w14:ligatures w14:val="none"/>
    </w:rPr>
  </w:style>
  <w:style w:type="character" w:styleId="1_660" w:customStyle="1">
    <w:name w:val="apple-converted-space"/>
    <w:basedOn w:val="87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Nadine_Bach</dc:creator>
  <cp:keywords/>
  <dc:description/>
  <cp:lastModifiedBy>Nadine Bach</cp:lastModifiedBy>
  <cp:revision>4</cp:revision>
  <dcterms:created xsi:type="dcterms:W3CDTF">2023-11-08T11:32:00Z</dcterms:created>
  <dcterms:modified xsi:type="dcterms:W3CDTF">2024-04-17T09:47:12Z</dcterms:modified>
</cp:coreProperties>
</file>