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10A" w:rsidRPr="00A23489" w:rsidRDefault="0036110A" w:rsidP="003667DF">
      <w:pPr>
        <w:spacing w:line="360" w:lineRule="auto"/>
        <w:jc w:val="center"/>
        <w:rPr>
          <w:rFonts w:asciiTheme="minorHAnsi" w:hAnsiTheme="minorHAnsi" w:cstheme="minorHAnsi"/>
          <w:b/>
          <w:sz w:val="32"/>
          <w:szCs w:val="32"/>
        </w:rPr>
      </w:pPr>
      <w:r w:rsidRPr="00A23489">
        <w:rPr>
          <w:rFonts w:asciiTheme="minorHAnsi" w:hAnsiTheme="minorHAnsi" w:cstheme="minorHAnsi"/>
          <w:b/>
          <w:sz w:val="32"/>
          <w:szCs w:val="32"/>
        </w:rPr>
        <w:t>Preisbildung – Kalkulation</w:t>
      </w:r>
    </w:p>
    <w:p w:rsidR="0036110A" w:rsidRPr="00A23489" w:rsidRDefault="006C3502" w:rsidP="0036110A">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Sie</w:t>
      </w:r>
      <w:r w:rsidR="0036110A" w:rsidRPr="00A23489">
        <w:rPr>
          <w:rFonts w:asciiTheme="minorHAnsi" w:hAnsiTheme="minorHAnsi" w:cstheme="minorHAnsi"/>
        </w:rPr>
        <w:t xml:space="preserve"> wollen ein Gericht </w:t>
      </w:r>
      <w:r w:rsidRPr="00A23489">
        <w:rPr>
          <w:rFonts w:asciiTheme="minorHAnsi" w:hAnsiTheme="minorHAnsi" w:cstheme="minorHAnsi"/>
        </w:rPr>
        <w:t>auf Ihrer Speisekarte</w:t>
      </w:r>
      <w:r w:rsidR="0036110A" w:rsidRPr="00A23489">
        <w:rPr>
          <w:rFonts w:asciiTheme="minorHAnsi" w:hAnsiTheme="minorHAnsi" w:cstheme="minorHAnsi"/>
        </w:rPr>
        <w:t xml:space="preserve"> anbieten. Doch welcher </w:t>
      </w:r>
      <w:r w:rsidR="00CF1492" w:rsidRPr="00A23489">
        <w:rPr>
          <w:rFonts w:asciiTheme="minorHAnsi" w:hAnsiTheme="minorHAnsi" w:cstheme="minorHAnsi"/>
        </w:rPr>
        <w:t>Preis soll auf der Karte stehen?</w:t>
      </w:r>
      <w:r w:rsidR="0036110A" w:rsidRPr="00A23489">
        <w:rPr>
          <w:rFonts w:asciiTheme="minorHAnsi" w:hAnsiTheme="minorHAnsi" w:cstheme="minorHAnsi"/>
        </w:rPr>
        <w:t xml:space="preserve"> Wie wird der </w:t>
      </w:r>
      <w:r w:rsidR="0036110A" w:rsidRPr="00A23489">
        <w:rPr>
          <w:rFonts w:asciiTheme="minorHAnsi" w:hAnsiTheme="minorHAnsi" w:cstheme="minorHAnsi"/>
          <w:b/>
        </w:rPr>
        <w:t>Inklusivpreis</w:t>
      </w:r>
      <w:r w:rsidR="00CF1492" w:rsidRPr="00A23489">
        <w:rPr>
          <w:rFonts w:asciiTheme="minorHAnsi" w:hAnsiTheme="minorHAnsi" w:cstheme="minorHAnsi"/>
        </w:rPr>
        <w:t xml:space="preserve"> ermittelt?</w:t>
      </w:r>
    </w:p>
    <w:p w:rsidR="0036110A" w:rsidRDefault="0036110A" w:rsidP="0036110A">
      <w:pPr>
        <w:spacing w:line="360" w:lineRule="auto"/>
        <w:rPr>
          <w:rFonts w:ascii="Arial" w:hAnsi="Arial" w:cs="Arial"/>
        </w:rPr>
      </w:pPr>
    </w:p>
    <w:p w:rsidR="0036110A" w:rsidRDefault="007922E2" w:rsidP="0036110A">
      <w:pPr>
        <w:spacing w:line="360" w:lineRule="auto"/>
        <w:rPr>
          <w:rFonts w:ascii="Arial" w:hAnsi="Arial" w:cs="Arial"/>
        </w:rPr>
      </w:pPr>
      <w:r>
        <w:rPr>
          <w:rFonts w:ascii="Arial" w:hAnsi="Arial" w:cs="Arial"/>
          <w:b/>
          <w:bCs/>
          <w:noProof/>
        </w:rPr>
        <w:drawing>
          <wp:inline distT="0" distB="0" distL="0" distR="0">
            <wp:extent cx="5816600" cy="2070100"/>
            <wp:effectExtent l="0" t="0" r="0" b="0"/>
            <wp:docPr id="1" name="Objek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1492" w:rsidRPr="00A23489" w:rsidRDefault="00CF1492" w:rsidP="0036110A">
      <w:pPr>
        <w:spacing w:line="360" w:lineRule="auto"/>
        <w:rPr>
          <w:rFonts w:asciiTheme="minorHAnsi" w:hAnsiTheme="minorHAnsi" w:cstheme="minorHAnsi"/>
          <w:b/>
          <w:sz w:val="28"/>
          <w:szCs w:val="28"/>
        </w:rPr>
      </w:pPr>
      <w:r w:rsidRPr="00A23489">
        <w:rPr>
          <w:rFonts w:asciiTheme="minorHAnsi" w:hAnsiTheme="minorHAnsi" w:cstheme="minorHAnsi"/>
          <w:b/>
          <w:sz w:val="28"/>
          <w:szCs w:val="28"/>
        </w:rPr>
        <w:t>1. Materialkosten</w:t>
      </w:r>
    </w:p>
    <w:p w:rsidR="00CF1492" w:rsidRPr="00A23489" w:rsidRDefault="00CF1492" w:rsidP="0036110A">
      <w:pPr>
        <w:spacing w:line="360" w:lineRule="auto"/>
        <w:rPr>
          <w:rFonts w:asciiTheme="minorHAnsi" w:hAnsiTheme="minorHAnsi" w:cstheme="minorHAnsi"/>
        </w:rPr>
      </w:pPr>
      <w:r w:rsidRPr="00A23489">
        <w:rPr>
          <w:rFonts w:asciiTheme="minorHAnsi" w:hAnsiTheme="minorHAnsi" w:cstheme="minorHAnsi"/>
        </w:rPr>
        <w:t xml:space="preserve">Die Materialkosten </w:t>
      </w:r>
      <w:r w:rsidR="006C3502" w:rsidRPr="00A23489">
        <w:rPr>
          <w:rFonts w:asciiTheme="minorHAnsi" w:hAnsiTheme="minorHAnsi" w:cstheme="minorHAnsi"/>
        </w:rPr>
        <w:t>ergeben sich aus den Kosten für die Zutaten, die Sie für Ihre Gerichte verwenden.</w:t>
      </w:r>
      <w:r w:rsidRPr="00A23489">
        <w:rPr>
          <w:rFonts w:asciiTheme="minorHAnsi" w:hAnsiTheme="minorHAnsi" w:cstheme="minorHAnsi"/>
        </w:rPr>
        <w:t xml:space="preserve"> </w:t>
      </w:r>
      <w:r w:rsidR="006C3502" w:rsidRPr="00A23489">
        <w:rPr>
          <w:rFonts w:asciiTheme="minorHAnsi" w:hAnsiTheme="minorHAnsi" w:cstheme="minorHAnsi"/>
        </w:rPr>
        <w:t>Sie</w:t>
      </w:r>
      <w:r w:rsidRPr="00A23489">
        <w:rPr>
          <w:rFonts w:asciiTheme="minorHAnsi" w:hAnsiTheme="minorHAnsi" w:cstheme="minorHAnsi"/>
        </w:rPr>
        <w:t xml:space="preserve"> werden auf die Portion bezogen. </w:t>
      </w:r>
      <w:r w:rsidR="006C3502" w:rsidRPr="00A23489">
        <w:rPr>
          <w:rFonts w:asciiTheme="minorHAnsi" w:hAnsiTheme="minorHAnsi" w:cstheme="minorHAnsi"/>
        </w:rPr>
        <w:t>Die Materialkosten werden über die Rezeptur</w:t>
      </w:r>
      <w:r w:rsidRPr="00A23489">
        <w:rPr>
          <w:rFonts w:asciiTheme="minorHAnsi" w:hAnsiTheme="minorHAnsi" w:cstheme="minorHAnsi"/>
        </w:rPr>
        <w:t xml:space="preserve"> und den Einkaufspreis</w:t>
      </w:r>
      <w:r w:rsidR="006C3502" w:rsidRPr="00A23489">
        <w:rPr>
          <w:rFonts w:asciiTheme="minorHAnsi" w:hAnsiTheme="minorHAnsi" w:cstheme="minorHAnsi"/>
        </w:rPr>
        <w:t xml:space="preserve"> der einzelnen Zutaten ermittelt</w:t>
      </w:r>
      <w:r w:rsidRPr="00A23489">
        <w:rPr>
          <w:rFonts w:asciiTheme="minorHAnsi" w:hAnsiTheme="minorHAnsi" w:cstheme="minorHAnsi"/>
        </w:rPr>
        <w:t>.</w:t>
      </w:r>
    </w:p>
    <w:p w:rsidR="00CF1492" w:rsidRPr="00A23489" w:rsidRDefault="00CF1492" w:rsidP="0036110A">
      <w:pPr>
        <w:spacing w:line="360" w:lineRule="auto"/>
        <w:rPr>
          <w:rFonts w:asciiTheme="minorHAnsi" w:hAnsiTheme="minorHAnsi" w:cstheme="minorHAnsi"/>
          <w:b/>
        </w:rPr>
      </w:pPr>
      <w:r w:rsidRPr="00A23489">
        <w:rPr>
          <w:rFonts w:asciiTheme="minorHAnsi" w:hAnsiTheme="minorHAnsi" w:cstheme="minorHAnsi"/>
          <w:b/>
        </w:rPr>
        <w:t xml:space="preserve">Die Materialkosten </w:t>
      </w:r>
      <w:r w:rsidR="006C3502" w:rsidRPr="00A23489">
        <w:rPr>
          <w:rFonts w:asciiTheme="minorHAnsi" w:hAnsiTheme="minorHAnsi" w:cstheme="minorHAnsi"/>
          <w:b/>
        </w:rPr>
        <w:t>sind</w:t>
      </w:r>
      <w:r w:rsidRPr="00A23489">
        <w:rPr>
          <w:rFonts w:asciiTheme="minorHAnsi" w:hAnsiTheme="minorHAnsi" w:cstheme="minorHAnsi"/>
          <w:b/>
        </w:rPr>
        <w:t xml:space="preserve"> immer 100% in der Kalkulation!</w:t>
      </w:r>
    </w:p>
    <w:p w:rsidR="00CF1492" w:rsidRPr="00A23489" w:rsidRDefault="00CF1492" w:rsidP="0036110A">
      <w:pPr>
        <w:spacing w:line="360" w:lineRule="auto"/>
        <w:rPr>
          <w:rFonts w:asciiTheme="minorHAnsi" w:hAnsiTheme="minorHAnsi" w:cstheme="minorHAnsi"/>
          <w:b/>
        </w:rPr>
      </w:pPr>
    </w:p>
    <w:p w:rsidR="00B25E7E" w:rsidRPr="00A23489" w:rsidRDefault="00CF1492" w:rsidP="0036110A">
      <w:pPr>
        <w:spacing w:line="360" w:lineRule="auto"/>
        <w:rPr>
          <w:rFonts w:asciiTheme="minorHAnsi" w:hAnsiTheme="minorHAnsi" w:cstheme="minorHAnsi"/>
          <w:b/>
          <w:sz w:val="28"/>
          <w:szCs w:val="28"/>
        </w:rPr>
      </w:pPr>
      <w:r w:rsidRPr="00A23489">
        <w:rPr>
          <w:rFonts w:asciiTheme="minorHAnsi" w:hAnsiTheme="minorHAnsi" w:cstheme="minorHAnsi"/>
          <w:b/>
          <w:sz w:val="28"/>
          <w:szCs w:val="28"/>
        </w:rPr>
        <w:t xml:space="preserve">2. </w:t>
      </w:r>
      <w:r w:rsidR="00B25E7E" w:rsidRPr="00A23489">
        <w:rPr>
          <w:rFonts w:asciiTheme="minorHAnsi" w:hAnsiTheme="minorHAnsi" w:cstheme="minorHAnsi"/>
          <w:b/>
          <w:sz w:val="28"/>
          <w:szCs w:val="28"/>
        </w:rPr>
        <w:t xml:space="preserve">Von den Materialkosten zu den Selbstkosten </w:t>
      </w:r>
    </w:p>
    <w:p w:rsidR="00CF1492" w:rsidRPr="00A23489" w:rsidRDefault="00CF1492" w:rsidP="0036110A">
      <w:pPr>
        <w:spacing w:line="360" w:lineRule="auto"/>
        <w:rPr>
          <w:rFonts w:asciiTheme="minorHAnsi" w:hAnsiTheme="minorHAnsi" w:cstheme="minorHAnsi"/>
          <w:b/>
        </w:rPr>
      </w:pPr>
      <w:r w:rsidRPr="00A23489">
        <w:rPr>
          <w:rFonts w:asciiTheme="minorHAnsi" w:hAnsiTheme="minorHAnsi" w:cstheme="minorHAnsi"/>
          <w:b/>
        </w:rPr>
        <w:t>Gemeinkosten</w:t>
      </w:r>
    </w:p>
    <w:p w:rsidR="00CF1492" w:rsidRPr="00A23489" w:rsidRDefault="0027379B" w:rsidP="0036110A">
      <w:pPr>
        <w:spacing w:line="360" w:lineRule="auto"/>
        <w:rPr>
          <w:rFonts w:asciiTheme="minorHAnsi" w:hAnsiTheme="minorHAnsi" w:cstheme="minorHAnsi"/>
        </w:rPr>
      </w:pPr>
      <w:r w:rsidRPr="00A23489">
        <w:rPr>
          <w:rFonts w:asciiTheme="minorHAnsi" w:hAnsiTheme="minorHAnsi" w:cstheme="minorHAnsi"/>
        </w:rPr>
        <w:t>Diese</w:t>
      </w:r>
      <w:r w:rsidR="00CF1492" w:rsidRPr="00A23489">
        <w:rPr>
          <w:rFonts w:asciiTheme="minorHAnsi" w:hAnsiTheme="minorHAnsi" w:cstheme="minorHAnsi"/>
        </w:rPr>
        <w:t xml:space="preserve"> sind die allgemein anfallenden Kosten für Energie, Pacht, Personal, Arbeitsmittel, Reparaturen</w:t>
      </w:r>
      <w:r w:rsidR="006C3502" w:rsidRPr="00A23489">
        <w:rPr>
          <w:rFonts w:asciiTheme="minorHAnsi" w:hAnsiTheme="minorHAnsi" w:cstheme="minorHAnsi"/>
        </w:rPr>
        <w:t xml:space="preserve"> und einfach alle Kosten, die im laufenden Betrieb anfallen.</w:t>
      </w:r>
      <w:r w:rsidR="00CF1492" w:rsidRPr="00A23489">
        <w:rPr>
          <w:rFonts w:asciiTheme="minorHAnsi" w:hAnsiTheme="minorHAnsi" w:cstheme="minorHAnsi"/>
        </w:rPr>
        <w:t xml:space="preserve"> Sie können dem Betriebsabrechnungsbogen entnommen werden. </w:t>
      </w:r>
      <w:r w:rsidR="006C3502" w:rsidRPr="00A23489">
        <w:rPr>
          <w:rFonts w:asciiTheme="minorHAnsi" w:hAnsiTheme="minorHAnsi" w:cstheme="minorHAnsi"/>
        </w:rPr>
        <w:t>Gemeinkosten, oder auch Gesamtkosten genannt,</w:t>
      </w:r>
      <w:r w:rsidR="00CF1492" w:rsidRPr="00A23489">
        <w:rPr>
          <w:rFonts w:asciiTheme="minorHAnsi" w:hAnsiTheme="minorHAnsi" w:cstheme="minorHAnsi"/>
        </w:rPr>
        <w:t xml:space="preserve"> werden mit ihrem Durchschnittswert den Materialkosten zugeschlagen.</w:t>
      </w:r>
    </w:p>
    <w:p w:rsidR="00050ADB" w:rsidRPr="00A23489" w:rsidRDefault="00CF1492" w:rsidP="00CF1492">
      <w:pPr>
        <w:spacing w:line="360" w:lineRule="auto"/>
        <w:rPr>
          <w:rFonts w:asciiTheme="minorHAnsi" w:hAnsiTheme="minorHAnsi" w:cstheme="minorHAnsi"/>
        </w:rPr>
      </w:pPr>
      <w:r w:rsidRPr="00A23489">
        <w:rPr>
          <w:rFonts w:asciiTheme="minorHAnsi" w:hAnsiTheme="minorHAnsi" w:cstheme="minorHAnsi"/>
        </w:rPr>
        <w:t xml:space="preserve"> </w:t>
      </w:r>
    </w:p>
    <w:p w:rsidR="0083081A" w:rsidRPr="00A23489" w:rsidRDefault="0041625B" w:rsidP="00CF149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rPr>
      </w:pPr>
      <w:r w:rsidRPr="00A23489">
        <w:rPr>
          <w:rFonts w:asciiTheme="minorHAnsi" w:hAnsiTheme="minorHAnsi" w:cstheme="minorHAnsi"/>
        </w:rPr>
        <w:t xml:space="preserve">Die Gemeinkosten ergeben sich aus dem Betriebsablauf </w:t>
      </w:r>
      <w:r w:rsidR="0027379B" w:rsidRPr="00A23489">
        <w:rPr>
          <w:rFonts w:asciiTheme="minorHAnsi" w:hAnsiTheme="minorHAnsi" w:cstheme="minorHAnsi"/>
        </w:rPr>
        <w:t>(Öffnungs</w:t>
      </w:r>
      <w:r w:rsidR="006C3502" w:rsidRPr="00A23489">
        <w:rPr>
          <w:rFonts w:asciiTheme="minorHAnsi" w:hAnsiTheme="minorHAnsi" w:cstheme="minorHAnsi"/>
        </w:rPr>
        <w:t>zeiten, Mensabetrieb …)</w:t>
      </w:r>
      <w:r w:rsidR="0081460F" w:rsidRPr="00A23489">
        <w:rPr>
          <w:rFonts w:asciiTheme="minorHAnsi" w:hAnsiTheme="minorHAnsi" w:cstheme="minorHAnsi"/>
        </w:rPr>
        <w:t xml:space="preserve"> und</w:t>
      </w:r>
      <w:r w:rsidR="006C3502" w:rsidRPr="00A23489">
        <w:rPr>
          <w:rFonts w:asciiTheme="minorHAnsi" w:hAnsiTheme="minorHAnsi" w:cstheme="minorHAnsi"/>
        </w:rPr>
        <w:t xml:space="preserve"> der Art </w:t>
      </w:r>
      <w:r w:rsidR="0027379B" w:rsidRPr="00A23489">
        <w:rPr>
          <w:rFonts w:asciiTheme="minorHAnsi" w:hAnsiTheme="minorHAnsi" w:cstheme="minorHAnsi"/>
        </w:rPr>
        <w:t>des Betrieb</w:t>
      </w:r>
      <w:r w:rsidRPr="00A23489">
        <w:rPr>
          <w:rFonts w:asciiTheme="minorHAnsi" w:hAnsiTheme="minorHAnsi" w:cstheme="minorHAnsi"/>
        </w:rPr>
        <w:t>s</w:t>
      </w:r>
      <w:r w:rsidR="0027379B" w:rsidRPr="00A23489">
        <w:rPr>
          <w:rFonts w:asciiTheme="minorHAnsi" w:hAnsiTheme="minorHAnsi" w:cstheme="minorHAnsi"/>
        </w:rPr>
        <w:t xml:space="preserve"> (Kantine, Gasthaus, Restaurant mit wenigen Plätzen, Imbiss …)</w:t>
      </w:r>
      <w:r w:rsidRPr="00A23489">
        <w:rPr>
          <w:rFonts w:asciiTheme="minorHAnsi" w:hAnsiTheme="minorHAnsi" w:cstheme="minorHAnsi"/>
        </w:rPr>
        <w:t xml:space="preserve"> bei der Leistungserstellung. Sie werden prozentual auf die einzelnen Abteilungen umgelegt, da sie einer Leistung oder Abteilung nicht mehr direkt zugeordnet werden können.</w:t>
      </w:r>
      <w:r w:rsidR="00050ADB" w:rsidRPr="00A23489">
        <w:rPr>
          <w:rFonts w:asciiTheme="minorHAnsi" w:hAnsiTheme="minorHAnsi" w:cstheme="minorHAnsi"/>
        </w:rPr>
        <w:t xml:space="preserve"> Das heißt, sie werden prozentual den Materialkosten zugeschlagen.</w:t>
      </w:r>
    </w:p>
    <w:p w:rsidR="0041625B" w:rsidRPr="00A23489" w:rsidRDefault="0041625B" w:rsidP="006F737E">
      <w:pPr>
        <w:rPr>
          <w:rFonts w:asciiTheme="minorHAnsi" w:hAnsiTheme="minorHAnsi" w:cstheme="minorHAnsi"/>
        </w:rPr>
      </w:pPr>
    </w:p>
    <w:p w:rsidR="00A23489" w:rsidRDefault="00A23489" w:rsidP="00C02EA5">
      <w:pPr>
        <w:spacing w:line="360" w:lineRule="auto"/>
        <w:rPr>
          <w:rFonts w:asciiTheme="minorHAnsi" w:hAnsiTheme="minorHAnsi" w:cstheme="minorHAnsi"/>
        </w:rPr>
      </w:pPr>
    </w:p>
    <w:p w:rsidR="0041625B" w:rsidRPr="00A23489" w:rsidRDefault="0041625B" w:rsidP="00C02EA5">
      <w:pPr>
        <w:spacing w:line="360" w:lineRule="auto"/>
        <w:rPr>
          <w:rFonts w:asciiTheme="minorHAnsi" w:hAnsiTheme="minorHAnsi" w:cstheme="minorHAnsi"/>
        </w:rPr>
      </w:pPr>
      <w:r w:rsidRPr="00A23489">
        <w:rPr>
          <w:rFonts w:asciiTheme="minorHAnsi" w:hAnsiTheme="minorHAnsi" w:cstheme="minorHAnsi"/>
        </w:rPr>
        <w:lastRenderedPageBreak/>
        <w:t xml:space="preserve">Man </w:t>
      </w:r>
      <w:r w:rsidR="0081460F" w:rsidRPr="00A23489">
        <w:rPr>
          <w:rFonts w:asciiTheme="minorHAnsi" w:hAnsiTheme="minorHAnsi" w:cstheme="minorHAnsi"/>
        </w:rPr>
        <w:t xml:space="preserve">kann die Gemeinkosten </w:t>
      </w:r>
      <w:proofErr w:type="gramStart"/>
      <w:r w:rsidR="0081460F" w:rsidRPr="00A23489">
        <w:rPr>
          <w:rFonts w:asciiTheme="minorHAnsi" w:hAnsiTheme="minorHAnsi" w:cstheme="minorHAnsi"/>
        </w:rPr>
        <w:t xml:space="preserve">nach </w:t>
      </w:r>
      <w:r w:rsidR="0027379B" w:rsidRPr="00A23489">
        <w:rPr>
          <w:rFonts w:asciiTheme="minorHAnsi" w:hAnsiTheme="minorHAnsi" w:cstheme="minorHAnsi"/>
        </w:rPr>
        <w:t>folgenden</w:t>
      </w:r>
      <w:proofErr w:type="gramEnd"/>
      <w:r w:rsidR="0027379B" w:rsidRPr="00A23489">
        <w:rPr>
          <w:rFonts w:asciiTheme="minorHAnsi" w:hAnsiTheme="minorHAnsi" w:cstheme="minorHAnsi"/>
        </w:rPr>
        <w:t xml:space="preserve"> Kriterien unterscheiden</w:t>
      </w:r>
      <w:r w:rsidRPr="00A23489">
        <w:rPr>
          <w:rFonts w:asciiTheme="minorHAnsi" w:hAnsiTheme="minorHAnsi" w:cstheme="minorHAnsi"/>
        </w:rPr>
        <w:t>:</w:t>
      </w:r>
    </w:p>
    <w:p w:rsidR="0081460F" w:rsidRPr="00A23489" w:rsidRDefault="0081460F"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i/>
        </w:rPr>
      </w:pPr>
      <w:r w:rsidRPr="00A23489">
        <w:rPr>
          <w:rFonts w:asciiTheme="minorHAnsi" w:hAnsiTheme="minorHAnsi" w:cstheme="minorHAnsi"/>
          <w:i/>
        </w:rPr>
        <w:t>Arbeitsauftrag</w:t>
      </w:r>
      <w:r w:rsidRPr="00A23489">
        <w:rPr>
          <w:rFonts w:asciiTheme="minorHAnsi" w:hAnsiTheme="minorHAnsi" w:cstheme="minorHAnsi"/>
          <w:b/>
          <w:i/>
        </w:rPr>
        <w:t xml:space="preserve">: </w:t>
      </w:r>
      <w:r w:rsidR="00C02EA5" w:rsidRPr="00A23489">
        <w:rPr>
          <w:rFonts w:asciiTheme="minorHAnsi" w:hAnsiTheme="minorHAnsi" w:cstheme="minorHAnsi"/>
          <w:b/>
          <w:i/>
        </w:rPr>
        <w:t>Ordne folgende Kosten richtig zu</w:t>
      </w:r>
      <w:r w:rsidRPr="00A23489">
        <w:rPr>
          <w:rFonts w:asciiTheme="minorHAnsi" w:hAnsiTheme="minorHAnsi" w:cstheme="minorHAnsi"/>
          <w:b/>
          <w:i/>
        </w:rPr>
        <w:t>!</w:t>
      </w:r>
    </w:p>
    <w:p w:rsidR="00C02EA5" w:rsidRPr="00A23489" w:rsidRDefault="00C02EA5"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i/>
        </w:rPr>
      </w:pPr>
      <w:r w:rsidRPr="00A23489">
        <w:rPr>
          <w:rFonts w:asciiTheme="minorHAnsi" w:hAnsiTheme="minorHAnsi" w:cstheme="minorHAnsi"/>
          <w:b/>
          <w:i/>
        </w:rPr>
        <w:t xml:space="preserve"> Löhne, Zinsen aus Darlehen, Energie, Wasser, Pacht, Abschreibungen, Urlaubsgeld</w:t>
      </w:r>
    </w:p>
    <w:p w:rsidR="0041625B" w:rsidRPr="00A23489" w:rsidRDefault="0041625B" w:rsidP="00C02EA5">
      <w:pPr>
        <w:spacing w:line="360" w:lineRule="auto"/>
        <w:rPr>
          <w:rFonts w:asciiTheme="minorHAnsi" w:hAnsiTheme="minorHAnsi" w:cstheme="minorHAnsi"/>
        </w:rPr>
      </w:pPr>
    </w:p>
    <w:p w:rsidR="0083081A" w:rsidRPr="00A23489" w:rsidRDefault="0041625B" w:rsidP="00C02EA5">
      <w:pPr>
        <w:numPr>
          <w:ilvl w:val="0"/>
          <w:numId w:val="2"/>
        </w:numPr>
        <w:spacing w:line="360" w:lineRule="auto"/>
        <w:rPr>
          <w:rFonts w:asciiTheme="minorHAnsi" w:hAnsiTheme="minorHAnsi" w:cstheme="minorHAnsi"/>
          <w:b/>
          <w:sz w:val="28"/>
          <w:szCs w:val="28"/>
        </w:rPr>
      </w:pPr>
      <w:r w:rsidRPr="00A23489">
        <w:rPr>
          <w:rFonts w:asciiTheme="minorHAnsi" w:hAnsiTheme="minorHAnsi" w:cstheme="minorHAnsi"/>
          <w:sz w:val="28"/>
          <w:szCs w:val="28"/>
        </w:rPr>
        <w:t>nach der</w:t>
      </w:r>
      <w:r w:rsidRPr="00A23489">
        <w:rPr>
          <w:rFonts w:asciiTheme="minorHAnsi" w:hAnsiTheme="minorHAnsi" w:cstheme="minorHAnsi"/>
          <w:b/>
          <w:sz w:val="28"/>
          <w:szCs w:val="28"/>
        </w:rPr>
        <w:t xml:space="preserve"> Entstehung</w:t>
      </w:r>
    </w:p>
    <w:p w:rsidR="0041625B" w:rsidRPr="00FF11C7" w:rsidRDefault="0041625B" w:rsidP="00C02EA5">
      <w:pPr>
        <w:numPr>
          <w:ilvl w:val="0"/>
          <w:numId w:val="3"/>
        </w:numPr>
        <w:spacing w:line="360" w:lineRule="auto"/>
        <w:rPr>
          <w:rFonts w:asciiTheme="minorHAnsi" w:hAnsiTheme="minorHAnsi" w:cstheme="minorHAnsi"/>
          <w:color w:val="70AD47" w:themeColor="accent6"/>
        </w:rPr>
      </w:pPr>
      <w:r w:rsidRPr="00A23489">
        <w:rPr>
          <w:rFonts w:asciiTheme="minorHAnsi" w:hAnsiTheme="minorHAnsi" w:cstheme="minorHAnsi"/>
          <w:b/>
        </w:rPr>
        <w:t>Kapitalkosten</w:t>
      </w:r>
      <w:r w:rsidRPr="00A23489">
        <w:rPr>
          <w:rFonts w:asciiTheme="minorHAnsi" w:hAnsiTheme="minorHAnsi" w:cstheme="minorHAnsi"/>
        </w:rPr>
        <w:t xml:space="preserve">: </w:t>
      </w:r>
      <w:r w:rsidR="00FF11C7" w:rsidRPr="00FF11C7">
        <w:rPr>
          <w:rFonts w:asciiTheme="minorHAnsi" w:hAnsiTheme="minorHAnsi" w:cstheme="minorHAnsi"/>
          <w:color w:val="92D050"/>
        </w:rPr>
        <w:t>Zinsen aus Darlehen, Abschreibungen</w:t>
      </w:r>
    </w:p>
    <w:p w:rsidR="0041625B" w:rsidRPr="00FF11C7" w:rsidRDefault="0041625B" w:rsidP="00C02EA5">
      <w:pPr>
        <w:numPr>
          <w:ilvl w:val="0"/>
          <w:numId w:val="3"/>
        </w:numPr>
        <w:spacing w:line="360" w:lineRule="auto"/>
        <w:rPr>
          <w:rFonts w:asciiTheme="minorHAnsi" w:hAnsiTheme="minorHAnsi" w:cstheme="minorHAnsi"/>
          <w:color w:val="70AD47" w:themeColor="accent6"/>
        </w:rPr>
      </w:pPr>
      <w:r w:rsidRPr="00A23489">
        <w:rPr>
          <w:rFonts w:asciiTheme="minorHAnsi" w:hAnsiTheme="minorHAnsi" w:cstheme="minorHAnsi"/>
          <w:b/>
        </w:rPr>
        <w:t>Betriebskosten</w:t>
      </w:r>
      <w:r w:rsidR="00C02EA5" w:rsidRPr="00A23489">
        <w:rPr>
          <w:rFonts w:asciiTheme="minorHAnsi" w:hAnsiTheme="minorHAnsi" w:cstheme="minorHAnsi"/>
        </w:rPr>
        <w:t xml:space="preserve">: </w:t>
      </w:r>
      <w:r w:rsidR="00FF11C7">
        <w:rPr>
          <w:rFonts w:asciiTheme="minorHAnsi" w:hAnsiTheme="minorHAnsi" w:cstheme="minorHAnsi"/>
          <w:color w:val="70AD47" w:themeColor="accent6"/>
        </w:rPr>
        <w:t>Energie, Wasser, Pacht</w:t>
      </w:r>
    </w:p>
    <w:p w:rsidR="0041625B" w:rsidRPr="00FF11C7" w:rsidRDefault="0041625B" w:rsidP="00C02EA5">
      <w:pPr>
        <w:numPr>
          <w:ilvl w:val="0"/>
          <w:numId w:val="3"/>
        </w:numPr>
        <w:spacing w:line="360" w:lineRule="auto"/>
        <w:rPr>
          <w:rFonts w:asciiTheme="minorHAnsi" w:hAnsiTheme="minorHAnsi" w:cstheme="minorHAnsi"/>
          <w:color w:val="70AD47" w:themeColor="accent6"/>
        </w:rPr>
      </w:pPr>
      <w:r w:rsidRPr="00A23489">
        <w:rPr>
          <w:rFonts w:asciiTheme="minorHAnsi" w:hAnsiTheme="minorHAnsi" w:cstheme="minorHAnsi"/>
          <w:b/>
        </w:rPr>
        <w:t>Personalkosten</w:t>
      </w:r>
      <w:r w:rsidRPr="00A23489">
        <w:rPr>
          <w:rFonts w:asciiTheme="minorHAnsi" w:hAnsiTheme="minorHAnsi" w:cstheme="minorHAnsi"/>
        </w:rPr>
        <w:t xml:space="preserve">: </w:t>
      </w:r>
      <w:r w:rsidR="00FF11C7">
        <w:rPr>
          <w:rFonts w:asciiTheme="minorHAnsi" w:hAnsiTheme="minorHAnsi" w:cstheme="minorHAnsi"/>
          <w:color w:val="70AD47" w:themeColor="accent6"/>
        </w:rPr>
        <w:t>Löhne, Urlaubsgeld</w:t>
      </w:r>
    </w:p>
    <w:p w:rsidR="0041625B" w:rsidRPr="00A23489" w:rsidRDefault="00C02EA5" w:rsidP="00C02EA5">
      <w:pPr>
        <w:tabs>
          <w:tab w:val="left" w:pos="1620"/>
        </w:tabs>
        <w:spacing w:line="360" w:lineRule="auto"/>
        <w:ind w:left="360"/>
        <w:rPr>
          <w:rFonts w:asciiTheme="minorHAnsi" w:hAnsiTheme="minorHAnsi" w:cstheme="minorHAnsi"/>
        </w:rPr>
      </w:pPr>
      <w:r w:rsidRPr="00A23489">
        <w:rPr>
          <w:rFonts w:asciiTheme="minorHAnsi" w:hAnsiTheme="minorHAnsi" w:cstheme="minorHAnsi"/>
        </w:rPr>
        <w:tab/>
      </w:r>
    </w:p>
    <w:p w:rsidR="0041625B" w:rsidRPr="00A23489" w:rsidRDefault="0041625B" w:rsidP="00C02EA5">
      <w:pPr>
        <w:numPr>
          <w:ilvl w:val="0"/>
          <w:numId w:val="2"/>
        </w:numPr>
        <w:spacing w:line="360" w:lineRule="auto"/>
        <w:rPr>
          <w:rFonts w:asciiTheme="minorHAnsi" w:hAnsiTheme="minorHAnsi" w:cstheme="minorHAnsi"/>
          <w:sz w:val="28"/>
          <w:szCs w:val="28"/>
        </w:rPr>
      </w:pPr>
      <w:r w:rsidRPr="00A23489">
        <w:rPr>
          <w:rFonts w:asciiTheme="minorHAnsi" w:hAnsiTheme="minorHAnsi" w:cstheme="minorHAnsi"/>
          <w:sz w:val="28"/>
          <w:szCs w:val="28"/>
        </w:rPr>
        <w:t xml:space="preserve">nach </w:t>
      </w:r>
      <w:r w:rsidRPr="00A23489">
        <w:rPr>
          <w:rFonts w:asciiTheme="minorHAnsi" w:hAnsiTheme="minorHAnsi" w:cstheme="minorHAnsi"/>
          <w:b/>
          <w:sz w:val="28"/>
          <w:szCs w:val="28"/>
        </w:rPr>
        <w:t>Beschäftigungsgrad/ Auslastung</w:t>
      </w:r>
    </w:p>
    <w:p w:rsidR="0081460F" w:rsidRPr="00A23489" w:rsidRDefault="0081460F" w:rsidP="00A23489">
      <w:pPr>
        <w:spacing w:line="360" w:lineRule="auto"/>
        <w:rPr>
          <w:rFonts w:asciiTheme="minorHAnsi" w:hAnsiTheme="minorHAnsi" w:cstheme="minorHAnsi"/>
          <w:sz w:val="28"/>
          <w:szCs w:val="28"/>
        </w:rPr>
      </w:pPr>
    </w:p>
    <w:p w:rsidR="00C02EA5" w:rsidRPr="00A23489" w:rsidRDefault="00C02EA5" w:rsidP="00C02EA5">
      <w:pPr>
        <w:spacing w:line="360" w:lineRule="auto"/>
        <w:ind w:left="360"/>
        <w:rPr>
          <w:rFonts w:asciiTheme="minorHAnsi" w:hAnsiTheme="minorHAnsi" w:cstheme="minorHAnsi"/>
        </w:rPr>
      </w:pPr>
      <w:r w:rsidRPr="00A23489">
        <w:rPr>
          <w:rFonts w:asciiTheme="minorHAnsi" w:hAnsiTheme="minorHAnsi" w:cstheme="minorHAnsi"/>
        </w:rPr>
        <w:t xml:space="preserve">Ordne die beiden Begriffe „fixe Kosten“ und „variable Kosten“ zu. </w:t>
      </w:r>
    </w:p>
    <w:p w:rsidR="0041625B" w:rsidRPr="00A23489" w:rsidRDefault="00FF11C7" w:rsidP="00C02EA5">
      <w:pPr>
        <w:numPr>
          <w:ilvl w:val="0"/>
          <w:numId w:val="3"/>
        </w:numPr>
        <w:spacing w:line="360" w:lineRule="auto"/>
        <w:rPr>
          <w:rFonts w:asciiTheme="minorHAnsi" w:hAnsiTheme="minorHAnsi" w:cstheme="minorHAnsi"/>
          <w:sz w:val="28"/>
          <w:szCs w:val="28"/>
        </w:rPr>
      </w:pPr>
      <w:r w:rsidRPr="00FF11C7">
        <w:rPr>
          <w:rFonts w:asciiTheme="minorHAnsi" w:hAnsiTheme="minorHAnsi" w:cstheme="minorHAnsi"/>
          <w:b/>
          <w:color w:val="92D050"/>
          <w:sz w:val="28"/>
          <w:szCs w:val="28"/>
        </w:rPr>
        <w:t>fixe</w:t>
      </w:r>
      <w:r w:rsidR="0022503D" w:rsidRPr="00FF11C7">
        <w:rPr>
          <w:rFonts w:asciiTheme="minorHAnsi" w:hAnsiTheme="minorHAnsi" w:cstheme="minorHAnsi"/>
          <w:b/>
          <w:color w:val="92D050"/>
          <w:sz w:val="28"/>
          <w:szCs w:val="28"/>
        </w:rPr>
        <w:t xml:space="preserve"> </w:t>
      </w:r>
      <w:r w:rsidR="0041625B" w:rsidRPr="00A23489">
        <w:rPr>
          <w:rFonts w:asciiTheme="minorHAnsi" w:hAnsiTheme="minorHAnsi" w:cstheme="minorHAnsi"/>
          <w:b/>
          <w:sz w:val="28"/>
          <w:szCs w:val="28"/>
        </w:rPr>
        <w:t>Kosten</w:t>
      </w:r>
      <w:r w:rsidR="0041625B" w:rsidRPr="00A23489">
        <w:rPr>
          <w:rFonts w:asciiTheme="minorHAnsi" w:hAnsiTheme="minorHAnsi" w:cstheme="minorHAnsi"/>
          <w:sz w:val="28"/>
          <w:szCs w:val="28"/>
        </w:rPr>
        <w:t>: Diese bleiben in ihre</w:t>
      </w:r>
      <w:r w:rsidR="0081460F" w:rsidRPr="00A23489">
        <w:rPr>
          <w:rFonts w:asciiTheme="minorHAnsi" w:hAnsiTheme="minorHAnsi" w:cstheme="minorHAnsi"/>
          <w:sz w:val="28"/>
          <w:szCs w:val="28"/>
        </w:rPr>
        <w:t>r Höhe immer gleich, z.B. Löhne/</w:t>
      </w:r>
      <w:r w:rsidR="0041625B" w:rsidRPr="00A23489">
        <w:rPr>
          <w:rFonts w:asciiTheme="minorHAnsi" w:hAnsiTheme="minorHAnsi" w:cstheme="minorHAnsi"/>
          <w:sz w:val="28"/>
          <w:szCs w:val="28"/>
        </w:rPr>
        <w:t xml:space="preserve">Gehälter, </w:t>
      </w:r>
      <w:r w:rsidR="0081460F" w:rsidRPr="00A23489">
        <w:rPr>
          <w:rFonts w:asciiTheme="minorHAnsi" w:hAnsiTheme="minorHAnsi" w:cstheme="minorHAnsi"/>
          <w:sz w:val="28"/>
          <w:szCs w:val="28"/>
        </w:rPr>
        <w:t>Pacht</w:t>
      </w:r>
      <w:r w:rsidR="0041625B" w:rsidRPr="00A23489">
        <w:rPr>
          <w:rFonts w:asciiTheme="minorHAnsi" w:hAnsiTheme="minorHAnsi" w:cstheme="minorHAnsi"/>
          <w:sz w:val="28"/>
          <w:szCs w:val="28"/>
        </w:rPr>
        <w:t>.</w:t>
      </w:r>
    </w:p>
    <w:p w:rsidR="0027379B" w:rsidRPr="00A23489" w:rsidRDefault="00FF11C7" w:rsidP="00A23489">
      <w:pPr>
        <w:numPr>
          <w:ilvl w:val="0"/>
          <w:numId w:val="3"/>
        </w:numPr>
        <w:spacing w:line="360" w:lineRule="auto"/>
        <w:rPr>
          <w:rFonts w:asciiTheme="minorHAnsi" w:hAnsiTheme="minorHAnsi" w:cstheme="minorHAnsi"/>
          <w:sz w:val="28"/>
          <w:szCs w:val="28"/>
        </w:rPr>
      </w:pPr>
      <w:r w:rsidRPr="00FF11C7">
        <w:rPr>
          <w:rFonts w:asciiTheme="minorHAnsi" w:hAnsiTheme="minorHAnsi" w:cstheme="minorHAnsi"/>
          <w:b/>
          <w:color w:val="92D050"/>
          <w:sz w:val="28"/>
          <w:szCs w:val="28"/>
        </w:rPr>
        <w:t>variable</w:t>
      </w:r>
      <w:r w:rsidR="0041625B" w:rsidRPr="00A23489">
        <w:rPr>
          <w:rFonts w:asciiTheme="minorHAnsi" w:hAnsiTheme="minorHAnsi" w:cstheme="minorHAnsi"/>
          <w:b/>
          <w:sz w:val="28"/>
          <w:szCs w:val="28"/>
        </w:rPr>
        <w:t xml:space="preserve"> Kosten</w:t>
      </w:r>
      <w:r w:rsidR="0041625B" w:rsidRPr="00A23489">
        <w:rPr>
          <w:rFonts w:asciiTheme="minorHAnsi" w:hAnsiTheme="minorHAnsi" w:cstheme="minorHAnsi"/>
          <w:sz w:val="28"/>
          <w:szCs w:val="28"/>
        </w:rPr>
        <w:t>: Diese schwanken in Abhängigkeit der Auslastung, z.B. Energie und Wasser</w:t>
      </w:r>
    </w:p>
    <w:p w:rsidR="00A23489" w:rsidRPr="00A23489" w:rsidRDefault="00A23489" w:rsidP="00A23489">
      <w:pPr>
        <w:spacing w:line="360" w:lineRule="auto"/>
        <w:ind w:left="720"/>
        <w:rPr>
          <w:rFonts w:asciiTheme="minorHAnsi" w:hAnsiTheme="minorHAnsi" w:cstheme="minorHAnsi"/>
          <w:sz w:val="20"/>
          <w:szCs w:val="20"/>
        </w:rPr>
      </w:pP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rPr>
      </w:pPr>
      <w:r w:rsidRPr="00A23489">
        <w:rPr>
          <w:rFonts w:asciiTheme="minorHAnsi" w:hAnsiTheme="minorHAnsi" w:cstheme="minorHAnsi"/>
          <w:b/>
        </w:rPr>
        <w:t>Beispielaufgabe</w:t>
      </w:r>
      <w:r w:rsidR="00D30202" w:rsidRPr="00A23489">
        <w:rPr>
          <w:rFonts w:asciiTheme="minorHAnsi" w:hAnsiTheme="minorHAnsi" w:cstheme="minorHAnsi"/>
          <w:b/>
        </w:rPr>
        <w:t xml:space="preserve"> 1</w:t>
      </w:r>
      <w:r w:rsidRPr="00A23489">
        <w:rPr>
          <w:rFonts w:asciiTheme="minorHAnsi" w:hAnsiTheme="minorHAnsi" w:cstheme="minorHAnsi"/>
          <w:b/>
        </w:rPr>
        <w:t>:</w:t>
      </w: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 xml:space="preserve">Die Materialkosten für ein Menü betragen 13,50 €. Es werden 140% für die Gemeinkosten zugeschlagen. Wie viel </w:t>
      </w:r>
      <w:r w:rsidR="00D30202" w:rsidRPr="00A23489">
        <w:rPr>
          <w:rFonts w:asciiTheme="minorHAnsi" w:hAnsiTheme="minorHAnsi" w:cstheme="minorHAnsi"/>
        </w:rPr>
        <w:t>Euro</w:t>
      </w:r>
      <w:r w:rsidRPr="00A23489">
        <w:rPr>
          <w:rFonts w:asciiTheme="minorHAnsi" w:hAnsiTheme="minorHAnsi" w:cstheme="minorHAnsi"/>
        </w:rPr>
        <w:t xml:space="preserve"> betragen die Gemeinkosten?</w:t>
      </w:r>
      <w:r w:rsidR="00FF11C7">
        <w:rPr>
          <w:rFonts w:asciiTheme="minorHAnsi" w:hAnsiTheme="minorHAnsi" w:cstheme="minorHAnsi"/>
        </w:rPr>
        <w:t xml:space="preserve"> </w:t>
      </w:r>
      <w:r w:rsidR="00FF11C7" w:rsidRPr="00FF11C7">
        <w:rPr>
          <w:rFonts w:asciiTheme="minorHAnsi" w:hAnsiTheme="minorHAnsi" w:cstheme="minorHAnsi"/>
          <w:color w:val="92D050"/>
        </w:rPr>
        <w:t xml:space="preserve">18,90 </w:t>
      </w:r>
      <w:r w:rsidR="00F25C3C">
        <w:rPr>
          <w:rFonts w:asciiTheme="minorHAnsi" w:hAnsiTheme="minorHAnsi" w:cstheme="minorHAnsi"/>
          <w:color w:val="92D050"/>
        </w:rPr>
        <w:t>€</w:t>
      </w:r>
    </w:p>
    <w:p w:rsidR="00FF11C7" w:rsidRPr="00A23489" w:rsidRDefault="00FF11C7" w:rsidP="007B5DE8">
      <w:pPr>
        <w:spacing w:line="360" w:lineRule="auto"/>
        <w:rPr>
          <w:rFonts w:asciiTheme="minorHAnsi" w:hAnsiTheme="minorHAnsi" w:cstheme="minorHAnsi"/>
          <w:sz w:val="16"/>
          <w:szCs w:val="16"/>
        </w:rPr>
      </w:pP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rPr>
      </w:pPr>
      <w:r w:rsidRPr="00A23489">
        <w:rPr>
          <w:rFonts w:asciiTheme="minorHAnsi" w:hAnsiTheme="minorHAnsi" w:cstheme="minorHAnsi"/>
          <w:b/>
        </w:rPr>
        <w:t>Beispielaufgabe</w:t>
      </w:r>
      <w:r w:rsidR="00D30202" w:rsidRPr="00A23489">
        <w:rPr>
          <w:rFonts w:asciiTheme="minorHAnsi" w:hAnsiTheme="minorHAnsi" w:cstheme="minorHAnsi"/>
          <w:b/>
        </w:rPr>
        <w:t xml:space="preserve"> 2</w:t>
      </w:r>
      <w:r w:rsidRPr="00A23489">
        <w:rPr>
          <w:rFonts w:asciiTheme="minorHAnsi" w:hAnsiTheme="minorHAnsi" w:cstheme="minorHAnsi"/>
          <w:b/>
        </w:rPr>
        <w:t>:</w:t>
      </w: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 xml:space="preserve">Die Materialkosten für ein </w:t>
      </w:r>
      <w:r w:rsidR="00D30202" w:rsidRPr="00A23489">
        <w:rPr>
          <w:rFonts w:asciiTheme="minorHAnsi" w:hAnsiTheme="minorHAnsi" w:cstheme="minorHAnsi"/>
        </w:rPr>
        <w:t>Gericht</w:t>
      </w:r>
      <w:r w:rsidRPr="00A23489">
        <w:rPr>
          <w:rFonts w:asciiTheme="minorHAnsi" w:hAnsiTheme="minorHAnsi" w:cstheme="minorHAnsi"/>
        </w:rPr>
        <w:t xml:space="preserve"> betragen </w:t>
      </w:r>
      <w:r w:rsidR="00D30202" w:rsidRPr="00A23489">
        <w:rPr>
          <w:rFonts w:asciiTheme="minorHAnsi" w:hAnsiTheme="minorHAnsi" w:cstheme="minorHAnsi"/>
        </w:rPr>
        <w:t>8</w:t>
      </w:r>
      <w:r w:rsidRPr="00A23489">
        <w:rPr>
          <w:rFonts w:asciiTheme="minorHAnsi" w:hAnsiTheme="minorHAnsi" w:cstheme="minorHAnsi"/>
        </w:rPr>
        <w:t xml:space="preserve"> €. </w:t>
      </w:r>
      <w:r w:rsidR="00D30202" w:rsidRPr="00A23489">
        <w:rPr>
          <w:rFonts w:asciiTheme="minorHAnsi" w:hAnsiTheme="minorHAnsi" w:cstheme="minorHAnsi"/>
        </w:rPr>
        <w:t>Die Gemeinkosten 12 €. Wieviel Prozent sind zugeschlagen worden?</w:t>
      </w:r>
      <w:r w:rsidR="00FF11C7">
        <w:rPr>
          <w:rFonts w:asciiTheme="minorHAnsi" w:hAnsiTheme="minorHAnsi" w:cstheme="minorHAnsi"/>
        </w:rPr>
        <w:t xml:space="preserve"> </w:t>
      </w:r>
      <w:r w:rsidR="00FF11C7" w:rsidRPr="00FF11C7">
        <w:rPr>
          <w:rFonts w:asciiTheme="minorHAnsi" w:hAnsiTheme="minorHAnsi" w:cstheme="minorHAnsi"/>
          <w:color w:val="92D050"/>
        </w:rPr>
        <w:t>150</w:t>
      </w:r>
      <w:r w:rsidR="00F25C3C">
        <w:rPr>
          <w:rFonts w:asciiTheme="minorHAnsi" w:hAnsiTheme="minorHAnsi" w:cstheme="minorHAnsi"/>
          <w:color w:val="92D050"/>
        </w:rPr>
        <w:t xml:space="preserve"> </w:t>
      </w:r>
      <w:r w:rsidR="00FF11C7" w:rsidRPr="00FF11C7">
        <w:rPr>
          <w:rFonts w:asciiTheme="minorHAnsi" w:hAnsiTheme="minorHAnsi" w:cstheme="minorHAnsi"/>
          <w:color w:val="92D050"/>
        </w:rPr>
        <w:t>%</w:t>
      </w:r>
    </w:p>
    <w:p w:rsidR="00050ADB" w:rsidRPr="00A23489" w:rsidRDefault="00050ADB" w:rsidP="00050ADB">
      <w:pPr>
        <w:rPr>
          <w:rFonts w:asciiTheme="minorHAnsi" w:hAnsiTheme="minorHAnsi" w:cstheme="minorHAnsi"/>
          <w:b/>
          <w:sz w:val="28"/>
          <w:szCs w:val="28"/>
        </w:rPr>
      </w:pPr>
    </w:p>
    <w:p w:rsidR="00B25E7E" w:rsidRPr="00A23489" w:rsidRDefault="00B25E7E" w:rsidP="00050ADB">
      <w:pPr>
        <w:rPr>
          <w:rFonts w:asciiTheme="minorHAnsi" w:hAnsiTheme="minorHAnsi" w:cstheme="minorHAnsi"/>
        </w:rPr>
      </w:pPr>
    </w:p>
    <w:p w:rsidR="0027379B" w:rsidRDefault="0027379B" w:rsidP="0027379B">
      <w:pPr>
        <w:spacing w:line="360" w:lineRule="auto"/>
        <w:rPr>
          <w:rFonts w:asciiTheme="minorHAnsi" w:hAnsiTheme="minorHAnsi" w:cstheme="minorHAnsi"/>
        </w:rPr>
      </w:pPr>
      <w:r w:rsidRPr="00A23489">
        <w:rPr>
          <w:rFonts w:asciiTheme="minorHAnsi" w:hAnsiTheme="minorHAnsi" w:cstheme="minorHAnsi"/>
        </w:rPr>
        <w:t xml:space="preserve">Die </w:t>
      </w:r>
      <w:r w:rsidRPr="00A23489">
        <w:rPr>
          <w:rFonts w:asciiTheme="minorHAnsi" w:hAnsiTheme="minorHAnsi" w:cstheme="minorHAnsi"/>
          <w:b/>
        </w:rPr>
        <w:t xml:space="preserve">Selbstkosten </w:t>
      </w:r>
      <w:r w:rsidRPr="00A23489">
        <w:rPr>
          <w:rFonts w:asciiTheme="minorHAnsi" w:hAnsiTheme="minorHAnsi" w:cstheme="minorHAnsi"/>
        </w:rPr>
        <w:t>sind die Kosten, die dem Unternehmer selbst entstehen und die er zu verrechnen hätte, wenn er</w:t>
      </w:r>
      <w:r w:rsidR="00FF11C7">
        <w:rPr>
          <w:rFonts w:asciiTheme="minorHAnsi" w:hAnsiTheme="minorHAnsi" w:cstheme="minorHAnsi"/>
        </w:rPr>
        <w:t xml:space="preserve"> </w:t>
      </w:r>
      <w:r w:rsidRPr="00A23489">
        <w:rPr>
          <w:rFonts w:asciiTheme="minorHAnsi" w:hAnsiTheme="minorHAnsi" w:cstheme="minorHAnsi"/>
        </w:rPr>
        <w:t>die Leistung selbst in Anspruch nähme.</w:t>
      </w:r>
    </w:p>
    <w:p w:rsidR="00A23489" w:rsidRPr="00A23489" w:rsidRDefault="00A23489" w:rsidP="0027379B">
      <w:pPr>
        <w:spacing w:line="360" w:lineRule="auto"/>
        <w:rPr>
          <w:rFonts w:asciiTheme="minorHAnsi" w:hAnsiTheme="minorHAnsi" w:cstheme="minorHAnsi"/>
        </w:rPr>
      </w:pPr>
    </w:p>
    <w:p w:rsidR="00050ADB" w:rsidRPr="00A23489" w:rsidRDefault="00A23489" w:rsidP="00A23489">
      <w:pPr>
        <w:pBdr>
          <w:top w:val="single" w:sz="4" w:space="1" w:color="auto"/>
          <w:left w:val="single" w:sz="4" w:space="4" w:color="auto"/>
          <w:bottom w:val="single" w:sz="4" w:space="1" w:color="auto"/>
          <w:right w:val="single" w:sz="4" w:space="4" w:color="auto"/>
        </w:pBdr>
        <w:rPr>
          <w:rFonts w:asciiTheme="minorHAnsi" w:hAnsiTheme="minorHAnsi" w:cstheme="minorHAnsi"/>
          <w:sz w:val="32"/>
          <w:szCs w:val="32"/>
        </w:rPr>
      </w:pPr>
      <m:oMathPara>
        <m:oMath>
          <m:r>
            <w:rPr>
              <w:rFonts w:ascii="Cambria Math" w:hAnsi="Cambria Math" w:cstheme="minorHAnsi"/>
              <w:sz w:val="32"/>
              <w:szCs w:val="32"/>
            </w:rPr>
            <m:t>Materialkosten+Gemeinkosten=Selbstkosten</m:t>
          </m:r>
        </m:oMath>
      </m:oMathPara>
    </w:p>
    <w:p w:rsidR="00A23489" w:rsidRDefault="00A23489" w:rsidP="00050ADB">
      <w:pPr>
        <w:rPr>
          <w:rFonts w:asciiTheme="minorHAnsi" w:hAnsiTheme="minorHAnsi" w:cstheme="minorHAnsi"/>
          <w:sz w:val="32"/>
          <w:szCs w:val="32"/>
        </w:rPr>
      </w:pPr>
    </w:p>
    <w:p w:rsidR="00A23489" w:rsidRPr="00A23489" w:rsidRDefault="00A23489" w:rsidP="00050ADB">
      <w:pPr>
        <w:rPr>
          <w:rFonts w:asciiTheme="minorHAnsi" w:hAnsiTheme="minorHAnsi" w:cstheme="minorHAnsi"/>
          <w:sz w:val="32"/>
          <w:szCs w:val="32"/>
        </w:rPr>
      </w:pPr>
    </w:p>
    <w:p w:rsidR="0027379B" w:rsidRPr="00A23489" w:rsidRDefault="0027379B" w:rsidP="0027379B">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b/>
        </w:rPr>
      </w:pPr>
      <w:r w:rsidRPr="00A23489">
        <w:rPr>
          <w:rFonts w:asciiTheme="minorHAnsi" w:hAnsiTheme="minorHAnsi" w:cstheme="minorHAnsi"/>
          <w:b/>
        </w:rPr>
        <w:lastRenderedPageBreak/>
        <w:t>Beispielaufgabe:</w:t>
      </w:r>
    </w:p>
    <w:p w:rsidR="0081460F" w:rsidRPr="00A23489" w:rsidRDefault="0027379B" w:rsidP="0081460F">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rPr>
      </w:pPr>
      <w:r w:rsidRPr="00A23489">
        <w:rPr>
          <w:rFonts w:asciiTheme="minorHAnsi" w:hAnsiTheme="minorHAnsi" w:cstheme="minorHAnsi"/>
        </w:rPr>
        <w:t>Die Materialkosten für ein Menü betragen 12,65 €, der Selbstkostenpreis liegt bei 28,84 €. Wie viel Prozent betragen die Gemeinkosten?</w:t>
      </w:r>
      <w:r w:rsidR="00F25C3C">
        <w:rPr>
          <w:rFonts w:asciiTheme="minorHAnsi" w:hAnsiTheme="minorHAnsi" w:cstheme="minorHAnsi"/>
        </w:rPr>
        <w:t xml:space="preserve"> </w:t>
      </w:r>
      <w:r w:rsidR="00F25C3C" w:rsidRPr="00F25C3C">
        <w:rPr>
          <w:rFonts w:asciiTheme="minorHAnsi" w:hAnsiTheme="minorHAnsi" w:cstheme="minorHAnsi"/>
          <w:color w:val="92D050"/>
        </w:rPr>
        <w:t>128 %</w:t>
      </w:r>
    </w:p>
    <w:p w:rsidR="00A23489" w:rsidRDefault="00A23489" w:rsidP="00B25E7E">
      <w:pPr>
        <w:spacing w:line="360" w:lineRule="auto"/>
        <w:rPr>
          <w:rFonts w:asciiTheme="minorHAnsi" w:hAnsiTheme="minorHAnsi" w:cstheme="minorHAnsi"/>
          <w:b/>
          <w:sz w:val="32"/>
          <w:szCs w:val="32"/>
        </w:rPr>
      </w:pPr>
    </w:p>
    <w:p w:rsidR="00B25E7E" w:rsidRPr="00A23489" w:rsidRDefault="00B25E7E" w:rsidP="00B25E7E">
      <w:pPr>
        <w:spacing w:line="360" w:lineRule="auto"/>
        <w:rPr>
          <w:rFonts w:asciiTheme="minorHAnsi" w:hAnsiTheme="minorHAnsi" w:cstheme="minorHAnsi"/>
          <w:b/>
          <w:sz w:val="28"/>
          <w:szCs w:val="28"/>
        </w:rPr>
      </w:pPr>
      <w:r w:rsidRPr="00A23489">
        <w:rPr>
          <w:rFonts w:asciiTheme="minorHAnsi" w:hAnsiTheme="minorHAnsi" w:cstheme="minorHAnsi"/>
          <w:b/>
          <w:sz w:val="32"/>
          <w:szCs w:val="32"/>
        </w:rPr>
        <w:t>3</w:t>
      </w:r>
      <w:r w:rsidR="00D30202" w:rsidRPr="00A23489">
        <w:rPr>
          <w:rFonts w:asciiTheme="minorHAnsi" w:hAnsiTheme="minorHAnsi" w:cstheme="minorHAnsi"/>
          <w:b/>
          <w:sz w:val="32"/>
          <w:szCs w:val="32"/>
        </w:rPr>
        <w:t xml:space="preserve">. </w:t>
      </w:r>
      <w:r w:rsidRPr="00A23489">
        <w:rPr>
          <w:rFonts w:asciiTheme="minorHAnsi" w:hAnsiTheme="minorHAnsi" w:cstheme="minorHAnsi"/>
          <w:b/>
          <w:sz w:val="28"/>
          <w:szCs w:val="28"/>
        </w:rPr>
        <w:t xml:space="preserve">Vom Materialpreis zum kalkulierten Preis </w:t>
      </w:r>
    </w:p>
    <w:p w:rsidR="00D30202" w:rsidRPr="00A23489" w:rsidRDefault="00D30202" w:rsidP="00D30202">
      <w:pPr>
        <w:spacing w:line="360" w:lineRule="auto"/>
        <w:rPr>
          <w:rFonts w:asciiTheme="minorHAnsi" w:hAnsiTheme="minorHAnsi" w:cstheme="minorHAnsi"/>
          <w:b/>
        </w:rPr>
      </w:pPr>
      <w:r w:rsidRPr="00A23489">
        <w:rPr>
          <w:rFonts w:asciiTheme="minorHAnsi" w:hAnsiTheme="minorHAnsi" w:cstheme="minorHAnsi"/>
          <w:b/>
        </w:rPr>
        <w:t xml:space="preserve">Gewinn </w:t>
      </w:r>
    </w:p>
    <w:p w:rsidR="00D30202" w:rsidRPr="00A23489" w:rsidRDefault="00D30202" w:rsidP="00D30202">
      <w:pPr>
        <w:spacing w:line="360" w:lineRule="auto"/>
        <w:jc w:val="center"/>
        <w:rPr>
          <w:rFonts w:asciiTheme="minorHAnsi" w:hAnsiTheme="minorHAnsi" w:cstheme="minorHAnsi"/>
          <w:b/>
          <w:sz w:val="16"/>
          <w:szCs w:val="16"/>
        </w:rPr>
      </w:pPr>
    </w:p>
    <w:p w:rsidR="00D30202" w:rsidRPr="00A23489" w:rsidRDefault="00D30202" w:rsidP="00D30202">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rPr>
      </w:pPr>
      <w:r w:rsidRPr="00A23489">
        <w:rPr>
          <w:rFonts w:asciiTheme="minorHAnsi" w:hAnsiTheme="minorHAnsi" w:cstheme="minorHAnsi"/>
        </w:rPr>
        <w:t xml:space="preserve">Den Selbstkosten wird der </w:t>
      </w:r>
      <w:r w:rsidRPr="00A23489">
        <w:rPr>
          <w:rFonts w:asciiTheme="minorHAnsi" w:hAnsiTheme="minorHAnsi" w:cstheme="minorHAnsi"/>
          <w:b/>
        </w:rPr>
        <w:t>Gewinn</w:t>
      </w:r>
      <w:r w:rsidRPr="00A23489">
        <w:rPr>
          <w:rFonts w:asciiTheme="minorHAnsi" w:hAnsiTheme="minorHAnsi" w:cstheme="minorHAnsi"/>
        </w:rPr>
        <w:t xml:space="preserve"> zugerechnet. Die weit verbreitete Meinung, der Gewinn sei das, „was der Chef in seine eigene Tasche steckt“, ist falsch. Der Unternehmer investiert Kapital, für das er bei der Bank Zinsen erhalten würde. Ihm steht darum eine entsprechende </w:t>
      </w:r>
      <w:r w:rsidRPr="00A23489">
        <w:rPr>
          <w:rFonts w:asciiTheme="minorHAnsi" w:hAnsiTheme="minorHAnsi" w:cstheme="minorHAnsi"/>
          <w:b/>
        </w:rPr>
        <w:t>Kapitalverzinsung</w:t>
      </w:r>
      <w:r w:rsidRPr="00A23489">
        <w:rPr>
          <w:rFonts w:asciiTheme="minorHAnsi" w:hAnsiTheme="minorHAnsi" w:cstheme="minorHAnsi"/>
        </w:rPr>
        <w:t xml:space="preserve"> zu. Ferner zählt zum Gewinn das </w:t>
      </w:r>
      <w:r w:rsidRPr="00A23489">
        <w:rPr>
          <w:rFonts w:asciiTheme="minorHAnsi" w:hAnsiTheme="minorHAnsi" w:cstheme="minorHAnsi"/>
          <w:b/>
        </w:rPr>
        <w:t>Entgelt für die Leistung des Unternehmers</w:t>
      </w:r>
      <w:r w:rsidRPr="00A23489">
        <w:rPr>
          <w:rFonts w:asciiTheme="minorHAnsi" w:hAnsiTheme="minorHAnsi" w:cstheme="minorHAnsi"/>
        </w:rPr>
        <w:t xml:space="preserve">, denn seine vollständige Arbeit kann nicht bei den Personalkosten berücksichtigt werden. Schließlich ist jedes Unternehmen mit einem </w:t>
      </w:r>
      <w:r w:rsidRPr="00A23489">
        <w:rPr>
          <w:rFonts w:asciiTheme="minorHAnsi" w:hAnsiTheme="minorHAnsi" w:cstheme="minorHAnsi"/>
          <w:b/>
        </w:rPr>
        <w:t>Risiko</w:t>
      </w:r>
      <w:r w:rsidRPr="00A23489">
        <w:rPr>
          <w:rFonts w:asciiTheme="minorHAnsi" w:hAnsiTheme="minorHAnsi" w:cstheme="minorHAnsi"/>
        </w:rPr>
        <w:t xml:space="preserve"> behaftet, darum muss eine Rücklage gebildet werden (z.B. bei allgemein schlechter Wirtschaftslage geht man weniger oft aus oder man spart am Urlaub</w:t>
      </w:r>
      <w:r w:rsidR="0081460F" w:rsidRPr="00A23489">
        <w:rPr>
          <w:rFonts w:asciiTheme="minorHAnsi" w:hAnsiTheme="minorHAnsi" w:cstheme="minorHAnsi"/>
        </w:rPr>
        <w:t>, was die Einnahmen in gastronomischen Betrieben mindert</w:t>
      </w:r>
      <w:r w:rsidRPr="00A23489">
        <w:rPr>
          <w:rFonts w:asciiTheme="minorHAnsi" w:hAnsiTheme="minorHAnsi" w:cstheme="minorHAnsi"/>
        </w:rPr>
        <w:t>).</w:t>
      </w:r>
    </w:p>
    <w:p w:rsidR="00D30202" w:rsidRPr="00A23489" w:rsidRDefault="00D30202" w:rsidP="00D30202">
      <w:pPr>
        <w:spacing w:line="360" w:lineRule="auto"/>
        <w:rPr>
          <w:rFonts w:asciiTheme="minorHAnsi" w:hAnsiTheme="minorHAnsi" w:cstheme="minorHAnsi"/>
        </w:rPr>
      </w:pPr>
    </w:p>
    <w:p w:rsidR="00D30202" w:rsidRPr="00A23489" w:rsidRDefault="00D30202" w:rsidP="00D30202">
      <w:pPr>
        <w:spacing w:line="360" w:lineRule="auto"/>
        <w:rPr>
          <w:rFonts w:asciiTheme="minorHAnsi" w:hAnsiTheme="minorHAnsi" w:cstheme="minorHAnsi"/>
          <w:sz w:val="28"/>
          <w:szCs w:val="28"/>
        </w:rPr>
      </w:pPr>
      <w:r w:rsidRPr="00A23489">
        <w:rPr>
          <w:rFonts w:asciiTheme="minorHAnsi" w:hAnsiTheme="minorHAnsi" w:cstheme="minorHAnsi"/>
          <w:sz w:val="28"/>
          <w:szCs w:val="28"/>
        </w:rPr>
        <w:t>Der Gewinn ist somit:</w:t>
      </w:r>
      <w:bookmarkStart w:id="0" w:name="_GoBack"/>
      <w:bookmarkEnd w:id="0"/>
    </w:p>
    <w:p w:rsidR="00F25C3C" w:rsidRPr="00F25C3C" w:rsidRDefault="00F25C3C" w:rsidP="00F25C3C">
      <w:pPr>
        <w:numPr>
          <w:ilvl w:val="0"/>
          <w:numId w:val="8"/>
        </w:numPr>
        <w:spacing w:line="360" w:lineRule="auto"/>
        <w:rPr>
          <w:rFonts w:ascii="Arial" w:hAnsi="Arial"/>
          <w:color w:val="92D050"/>
          <w:sz w:val="28"/>
          <w:szCs w:val="28"/>
        </w:rPr>
      </w:pPr>
      <w:r w:rsidRPr="00F25C3C">
        <w:rPr>
          <w:rFonts w:ascii="Arial" w:hAnsi="Arial"/>
          <w:color w:val="92D050"/>
          <w:sz w:val="28"/>
          <w:szCs w:val="28"/>
        </w:rPr>
        <w:t>Verzinsung des Eigenkapitals</w:t>
      </w:r>
    </w:p>
    <w:p w:rsidR="00F25C3C" w:rsidRPr="00F25C3C" w:rsidRDefault="00F25C3C" w:rsidP="00F25C3C">
      <w:pPr>
        <w:numPr>
          <w:ilvl w:val="0"/>
          <w:numId w:val="8"/>
        </w:numPr>
        <w:spacing w:line="360" w:lineRule="auto"/>
        <w:rPr>
          <w:rFonts w:ascii="Arial" w:hAnsi="Arial"/>
          <w:color w:val="92D050"/>
          <w:sz w:val="28"/>
          <w:szCs w:val="28"/>
        </w:rPr>
      </w:pPr>
      <w:r w:rsidRPr="00F25C3C">
        <w:rPr>
          <w:rFonts w:ascii="Arial" w:hAnsi="Arial"/>
          <w:color w:val="92D050"/>
          <w:sz w:val="28"/>
          <w:szCs w:val="28"/>
        </w:rPr>
        <w:t>Unternehmerlohn</w:t>
      </w:r>
    </w:p>
    <w:p w:rsidR="00F25C3C" w:rsidRPr="00F25C3C" w:rsidRDefault="00F25C3C" w:rsidP="00F25C3C">
      <w:pPr>
        <w:numPr>
          <w:ilvl w:val="0"/>
          <w:numId w:val="8"/>
        </w:numPr>
        <w:spacing w:line="360" w:lineRule="auto"/>
        <w:rPr>
          <w:rFonts w:ascii="Arial" w:hAnsi="Arial"/>
          <w:color w:val="92D050"/>
          <w:sz w:val="28"/>
          <w:szCs w:val="28"/>
        </w:rPr>
      </w:pPr>
      <w:r w:rsidRPr="00F25C3C">
        <w:rPr>
          <w:rFonts w:ascii="Arial" w:hAnsi="Arial"/>
          <w:color w:val="92D050"/>
          <w:sz w:val="28"/>
          <w:szCs w:val="28"/>
        </w:rPr>
        <w:t>Risikorücklage und Rücklage für Investitionen</w:t>
      </w:r>
    </w:p>
    <w:p w:rsidR="00D30202" w:rsidRPr="00A23489" w:rsidRDefault="00A23489" w:rsidP="00A23489">
      <w:pPr>
        <w:pBdr>
          <w:top w:val="single" w:sz="4" w:space="1" w:color="auto"/>
          <w:left w:val="single" w:sz="4" w:space="4" w:color="auto"/>
          <w:bottom w:val="single" w:sz="4" w:space="1" w:color="auto"/>
          <w:right w:val="single" w:sz="4" w:space="4" w:color="auto"/>
        </w:pBdr>
        <w:spacing w:line="360" w:lineRule="auto"/>
        <w:rPr>
          <w:rFonts w:asciiTheme="minorHAnsi" w:hAnsiTheme="minorHAnsi" w:cstheme="minorHAnsi"/>
          <w:sz w:val="28"/>
          <w:szCs w:val="28"/>
        </w:rPr>
      </w:pPr>
      <m:oMathPara>
        <m:oMath>
          <m:r>
            <w:rPr>
              <w:rFonts w:ascii="Cambria Math" w:hAnsi="Cambria Math" w:cstheme="minorHAnsi"/>
              <w:sz w:val="32"/>
              <w:szCs w:val="32"/>
            </w:rPr>
            <m:t>Selbstkosten+Gewinn=kalkulierter Preis</m:t>
          </m:r>
        </m:oMath>
      </m:oMathPara>
    </w:p>
    <w:p w:rsidR="00B25E7E" w:rsidRPr="00A23489" w:rsidRDefault="00B25E7E" w:rsidP="00D30202">
      <w:pPr>
        <w:spacing w:line="360" w:lineRule="auto"/>
        <w:jc w:val="both"/>
        <w:rPr>
          <w:rFonts w:asciiTheme="minorHAnsi" w:hAnsiTheme="minorHAnsi" w:cstheme="minorHAnsi"/>
        </w:rPr>
      </w:pPr>
    </w:p>
    <w:p w:rsidR="00C668E6" w:rsidRPr="00A23489" w:rsidRDefault="00B25E7E" w:rsidP="00D30202">
      <w:pPr>
        <w:spacing w:line="360" w:lineRule="auto"/>
        <w:jc w:val="both"/>
        <w:rPr>
          <w:rFonts w:asciiTheme="minorHAnsi" w:hAnsiTheme="minorHAnsi" w:cstheme="minorHAnsi"/>
          <w:b/>
          <w:sz w:val="28"/>
          <w:szCs w:val="28"/>
        </w:rPr>
      </w:pPr>
      <w:r w:rsidRPr="00A23489">
        <w:rPr>
          <w:rFonts w:asciiTheme="minorHAnsi" w:hAnsiTheme="minorHAnsi" w:cstheme="minorHAnsi"/>
          <w:b/>
          <w:sz w:val="28"/>
          <w:szCs w:val="28"/>
        </w:rPr>
        <w:t>4</w:t>
      </w:r>
      <w:r w:rsidR="00C668E6" w:rsidRPr="00A23489">
        <w:rPr>
          <w:rFonts w:asciiTheme="minorHAnsi" w:hAnsiTheme="minorHAnsi" w:cstheme="minorHAnsi"/>
          <w:b/>
          <w:sz w:val="28"/>
          <w:szCs w:val="28"/>
        </w:rPr>
        <w:t>. Vom Materialpreis zum Nettoverkaufspreis</w:t>
      </w:r>
    </w:p>
    <w:p w:rsidR="00B25E7E" w:rsidRPr="00A23489" w:rsidRDefault="00B25E7E" w:rsidP="00B25E7E">
      <w:pPr>
        <w:spacing w:line="360" w:lineRule="auto"/>
        <w:jc w:val="both"/>
        <w:rPr>
          <w:rFonts w:asciiTheme="minorHAnsi" w:hAnsiTheme="minorHAnsi" w:cstheme="minorHAnsi"/>
          <w:b/>
          <w:sz w:val="28"/>
          <w:szCs w:val="28"/>
        </w:rPr>
      </w:pPr>
    </w:p>
    <w:p w:rsidR="00B25E7E" w:rsidRPr="00A23489" w:rsidRDefault="00B25E7E" w:rsidP="00B25E7E">
      <w:pPr>
        <w:spacing w:line="360" w:lineRule="auto"/>
        <w:jc w:val="both"/>
        <w:rPr>
          <w:rFonts w:asciiTheme="minorHAnsi" w:hAnsiTheme="minorHAnsi" w:cstheme="minorHAnsi"/>
          <w:b/>
        </w:rPr>
      </w:pPr>
      <w:r w:rsidRPr="00A23489">
        <w:rPr>
          <w:rFonts w:asciiTheme="minorHAnsi" w:hAnsiTheme="minorHAnsi" w:cstheme="minorHAnsi"/>
          <w:b/>
        </w:rPr>
        <w:t>Umsatzbeteiligung des Servicepersonals</w:t>
      </w:r>
    </w:p>
    <w:p w:rsidR="00B25E7E" w:rsidRPr="00A23489" w:rsidRDefault="00B25E7E" w:rsidP="00B25E7E">
      <w:pPr>
        <w:spacing w:line="360" w:lineRule="auto"/>
        <w:jc w:val="both"/>
        <w:rPr>
          <w:rFonts w:asciiTheme="minorHAnsi" w:hAnsiTheme="minorHAnsi" w:cstheme="minorHAnsi"/>
        </w:rPr>
      </w:pPr>
      <w:r w:rsidRPr="00A23489">
        <w:rPr>
          <w:rFonts w:asciiTheme="minorHAnsi" w:hAnsiTheme="minorHAnsi" w:cstheme="minorHAnsi"/>
        </w:rPr>
        <w:t xml:space="preserve">In manchen Betrieben der Gastronomie erhält das Servicepersonal eine </w:t>
      </w:r>
      <w:r w:rsidRPr="00A23489">
        <w:rPr>
          <w:rFonts w:asciiTheme="minorHAnsi" w:hAnsiTheme="minorHAnsi" w:cstheme="minorHAnsi"/>
          <w:b/>
        </w:rPr>
        <w:t>Umsatzbeteiligung</w:t>
      </w:r>
      <w:r w:rsidRPr="00A23489">
        <w:rPr>
          <w:rFonts w:asciiTheme="minorHAnsi" w:hAnsiTheme="minorHAnsi" w:cstheme="minorHAnsi"/>
        </w:rPr>
        <w:t>, die prozentual vom kalkulierten Preis errechnet wird. Dies ist für das Servicepersonal eine gute Motivation dem Gast einige Zusatzangebote zu unterbreiten und die angebotenen Leistungen anzupreisen.</w:t>
      </w:r>
    </w:p>
    <w:p w:rsidR="00D30202" w:rsidRPr="00A23489" w:rsidRDefault="00A23489" w:rsidP="00A23489">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32"/>
          <w:szCs w:val="28"/>
        </w:rPr>
      </w:pPr>
      <m:oMathPara>
        <m:oMath>
          <m:r>
            <w:rPr>
              <w:rFonts w:ascii="Cambria Math" w:hAnsi="Cambria Math" w:cstheme="minorHAnsi"/>
              <w:sz w:val="32"/>
              <w:szCs w:val="28"/>
            </w:rPr>
            <m:t>Kalkulierter Preis+Umsatzbeteiligung=Nettoverkaufspreis</m:t>
          </m:r>
        </m:oMath>
      </m:oMathPara>
    </w:p>
    <w:p w:rsidR="00A23489" w:rsidRDefault="00A23489" w:rsidP="00D30202">
      <w:pPr>
        <w:tabs>
          <w:tab w:val="left" w:pos="1740"/>
        </w:tabs>
        <w:spacing w:line="360" w:lineRule="auto"/>
        <w:jc w:val="both"/>
        <w:rPr>
          <w:rFonts w:asciiTheme="minorHAnsi" w:hAnsiTheme="minorHAnsi" w:cstheme="minorHAnsi"/>
          <w:b/>
          <w:sz w:val="28"/>
          <w:szCs w:val="28"/>
        </w:rPr>
      </w:pPr>
    </w:p>
    <w:p w:rsidR="00B25E7E" w:rsidRPr="00A23489" w:rsidRDefault="00C01DA6" w:rsidP="00D30202">
      <w:pPr>
        <w:tabs>
          <w:tab w:val="left" w:pos="1740"/>
        </w:tabs>
        <w:spacing w:line="360" w:lineRule="auto"/>
        <w:jc w:val="both"/>
        <w:rPr>
          <w:rFonts w:asciiTheme="minorHAnsi" w:hAnsiTheme="minorHAnsi" w:cstheme="minorHAnsi"/>
          <w:b/>
          <w:sz w:val="28"/>
          <w:szCs w:val="28"/>
        </w:rPr>
      </w:pPr>
      <w:r w:rsidRPr="00A23489">
        <w:rPr>
          <w:rFonts w:asciiTheme="minorHAnsi" w:hAnsiTheme="minorHAnsi" w:cstheme="minorHAnsi"/>
          <w:b/>
          <w:sz w:val="28"/>
          <w:szCs w:val="28"/>
        </w:rPr>
        <w:t>5</w:t>
      </w:r>
      <w:r w:rsidR="00C668E6" w:rsidRPr="00A23489">
        <w:rPr>
          <w:rFonts w:asciiTheme="minorHAnsi" w:hAnsiTheme="minorHAnsi" w:cstheme="minorHAnsi"/>
          <w:b/>
          <w:sz w:val="28"/>
          <w:szCs w:val="28"/>
        </w:rPr>
        <w:t xml:space="preserve">. </w:t>
      </w:r>
      <w:r w:rsidR="00B25E7E" w:rsidRPr="00A23489">
        <w:rPr>
          <w:rFonts w:asciiTheme="minorHAnsi" w:hAnsiTheme="minorHAnsi" w:cstheme="minorHAnsi"/>
          <w:b/>
          <w:sz w:val="28"/>
          <w:szCs w:val="28"/>
        </w:rPr>
        <w:t>Vom Materialpreis zum Bruttoverkaufspreis (= Inklusivpreis)</w:t>
      </w:r>
    </w:p>
    <w:p w:rsidR="00B25E7E" w:rsidRPr="00A23489" w:rsidRDefault="00B25E7E" w:rsidP="00D30202">
      <w:pPr>
        <w:tabs>
          <w:tab w:val="left" w:pos="1740"/>
        </w:tabs>
        <w:spacing w:line="360" w:lineRule="auto"/>
        <w:jc w:val="both"/>
        <w:rPr>
          <w:rFonts w:asciiTheme="minorHAnsi" w:hAnsiTheme="minorHAnsi" w:cstheme="minorHAnsi"/>
          <w:b/>
        </w:rPr>
      </w:pPr>
    </w:p>
    <w:p w:rsidR="00C668E6" w:rsidRPr="00A23489" w:rsidRDefault="00C668E6" w:rsidP="00D30202">
      <w:pPr>
        <w:tabs>
          <w:tab w:val="left" w:pos="1740"/>
        </w:tabs>
        <w:spacing w:line="360" w:lineRule="auto"/>
        <w:jc w:val="both"/>
        <w:rPr>
          <w:rFonts w:asciiTheme="minorHAnsi" w:hAnsiTheme="minorHAnsi" w:cstheme="minorHAnsi"/>
          <w:b/>
        </w:rPr>
      </w:pPr>
      <w:r w:rsidRPr="00A23489">
        <w:rPr>
          <w:rFonts w:asciiTheme="minorHAnsi" w:hAnsiTheme="minorHAnsi" w:cstheme="minorHAnsi"/>
          <w:b/>
        </w:rPr>
        <w:t>Mehrwertsteuer</w:t>
      </w:r>
    </w:p>
    <w:p w:rsidR="00D30202" w:rsidRDefault="00D30202" w:rsidP="00D30202">
      <w:pPr>
        <w:tabs>
          <w:tab w:val="left" w:pos="1740"/>
        </w:tabs>
        <w:spacing w:line="360" w:lineRule="auto"/>
        <w:jc w:val="both"/>
        <w:rPr>
          <w:rFonts w:asciiTheme="minorHAnsi" w:hAnsiTheme="minorHAnsi" w:cstheme="minorHAnsi"/>
        </w:rPr>
      </w:pPr>
      <w:r w:rsidRPr="00A23489">
        <w:rPr>
          <w:rFonts w:asciiTheme="minorHAnsi" w:hAnsiTheme="minorHAnsi" w:cstheme="minorHAnsi"/>
        </w:rPr>
        <w:t xml:space="preserve">Nach den gesetzlichen Bestimmungen ist </w:t>
      </w:r>
      <w:r w:rsidR="00C01DA6" w:rsidRPr="00A23489">
        <w:rPr>
          <w:rFonts w:asciiTheme="minorHAnsi" w:hAnsiTheme="minorHAnsi" w:cstheme="minorHAnsi"/>
        </w:rPr>
        <w:t>dem Nettoverkaufspreis</w:t>
      </w:r>
      <w:r w:rsidRPr="00A23489">
        <w:rPr>
          <w:rFonts w:asciiTheme="minorHAnsi" w:hAnsiTheme="minorHAnsi" w:cstheme="minorHAnsi"/>
        </w:rPr>
        <w:t xml:space="preserve"> die </w:t>
      </w:r>
      <w:r w:rsidRPr="00A23489">
        <w:rPr>
          <w:rFonts w:asciiTheme="minorHAnsi" w:hAnsiTheme="minorHAnsi" w:cstheme="minorHAnsi"/>
          <w:b/>
        </w:rPr>
        <w:t>Mehrwertsteuer</w:t>
      </w:r>
      <w:r w:rsidRPr="00A23489">
        <w:rPr>
          <w:rFonts w:asciiTheme="minorHAnsi" w:hAnsiTheme="minorHAnsi" w:cstheme="minorHAnsi"/>
        </w:rPr>
        <w:t xml:space="preserve"> zuzurechnen. Bei „Verzehr an Ort und Stelle“, also bei uns im Gastgewerbe, ist der</w:t>
      </w:r>
      <w:r w:rsidR="00C668E6" w:rsidRPr="00A23489">
        <w:rPr>
          <w:rFonts w:asciiTheme="minorHAnsi" w:hAnsiTheme="minorHAnsi" w:cstheme="minorHAnsi"/>
        </w:rPr>
        <w:t xml:space="preserve"> volle Steuersatz zu berechnen. </w:t>
      </w:r>
      <w:r w:rsidR="00B25E7E" w:rsidRPr="00A23489">
        <w:rPr>
          <w:rFonts w:asciiTheme="minorHAnsi" w:hAnsiTheme="minorHAnsi" w:cstheme="minorHAnsi"/>
        </w:rPr>
        <w:t>D</w:t>
      </w:r>
      <w:r w:rsidRPr="00A23489">
        <w:rPr>
          <w:rFonts w:asciiTheme="minorHAnsi" w:hAnsiTheme="minorHAnsi" w:cstheme="minorHAnsi"/>
        </w:rPr>
        <w:t>ieser</w:t>
      </w:r>
      <w:r w:rsidR="00B25E7E" w:rsidRPr="00A23489">
        <w:rPr>
          <w:rFonts w:asciiTheme="minorHAnsi" w:hAnsiTheme="minorHAnsi" w:cstheme="minorHAnsi"/>
        </w:rPr>
        <w:t xml:space="preserve"> liegt</w:t>
      </w:r>
      <w:r w:rsidRPr="00A23489">
        <w:rPr>
          <w:rFonts w:asciiTheme="minorHAnsi" w:hAnsiTheme="minorHAnsi" w:cstheme="minorHAnsi"/>
        </w:rPr>
        <w:t xml:space="preserve"> bei 19 </w:t>
      </w:r>
      <w:r w:rsidR="00B25E7E" w:rsidRPr="00A23489">
        <w:rPr>
          <w:rFonts w:asciiTheme="minorHAnsi" w:hAnsiTheme="minorHAnsi" w:cstheme="minorHAnsi"/>
        </w:rPr>
        <w:t>Prozent</w:t>
      </w:r>
      <w:r w:rsidRPr="00A23489">
        <w:rPr>
          <w:rFonts w:asciiTheme="minorHAnsi" w:hAnsiTheme="minorHAnsi" w:cstheme="minorHAnsi"/>
        </w:rPr>
        <w:t>.</w:t>
      </w:r>
      <w:r w:rsidR="00B25E7E" w:rsidRPr="00A23489">
        <w:rPr>
          <w:rFonts w:asciiTheme="minorHAnsi" w:hAnsiTheme="minorHAnsi" w:cstheme="minorHAnsi"/>
        </w:rPr>
        <w:t xml:space="preserve"> Bei Abholung von Speisen oder Lieferdiensten gilt </w:t>
      </w:r>
      <w:r w:rsidR="00C01DA6" w:rsidRPr="00A23489">
        <w:rPr>
          <w:rFonts w:asciiTheme="minorHAnsi" w:hAnsiTheme="minorHAnsi" w:cstheme="minorHAnsi"/>
        </w:rPr>
        <w:t>der reduzierte</w:t>
      </w:r>
      <w:r w:rsidR="00B25E7E" w:rsidRPr="00A23489">
        <w:rPr>
          <w:rFonts w:asciiTheme="minorHAnsi" w:hAnsiTheme="minorHAnsi" w:cstheme="minorHAnsi"/>
        </w:rPr>
        <w:t xml:space="preserve"> Mehrwertsteuer</w:t>
      </w:r>
      <w:r w:rsidR="00C01DA6" w:rsidRPr="00A23489">
        <w:rPr>
          <w:rFonts w:asciiTheme="minorHAnsi" w:hAnsiTheme="minorHAnsi" w:cstheme="minorHAnsi"/>
        </w:rPr>
        <w:t>satz</w:t>
      </w:r>
      <w:r w:rsidR="00B25E7E" w:rsidRPr="00A23489">
        <w:rPr>
          <w:rFonts w:asciiTheme="minorHAnsi" w:hAnsiTheme="minorHAnsi" w:cstheme="minorHAnsi"/>
        </w:rPr>
        <w:t xml:space="preserve"> von </w:t>
      </w:r>
      <w:r w:rsidR="00C01DA6" w:rsidRPr="00A23489">
        <w:rPr>
          <w:rFonts w:asciiTheme="minorHAnsi" w:hAnsiTheme="minorHAnsi" w:cstheme="minorHAnsi"/>
        </w:rPr>
        <w:t xml:space="preserve">7 </w:t>
      </w:r>
      <w:r w:rsidR="00B25E7E" w:rsidRPr="00A23489">
        <w:rPr>
          <w:rFonts w:asciiTheme="minorHAnsi" w:hAnsiTheme="minorHAnsi" w:cstheme="minorHAnsi"/>
        </w:rPr>
        <w:t xml:space="preserve">Prozent. </w:t>
      </w:r>
      <w:r w:rsidR="00C01DA6" w:rsidRPr="00A23489">
        <w:rPr>
          <w:rFonts w:asciiTheme="minorHAnsi" w:hAnsiTheme="minorHAnsi" w:cstheme="minorHAnsi"/>
        </w:rPr>
        <w:t>Einfach gesagt, wer Service bekommt zahlt den höheren Mehrwertsteuersatz.</w:t>
      </w:r>
    </w:p>
    <w:p w:rsidR="00A23489" w:rsidRPr="00A23489" w:rsidRDefault="00A23489" w:rsidP="00D30202">
      <w:pPr>
        <w:tabs>
          <w:tab w:val="left" w:pos="1740"/>
        </w:tabs>
        <w:spacing w:line="360" w:lineRule="auto"/>
        <w:jc w:val="both"/>
        <w:rPr>
          <w:rFonts w:asciiTheme="minorHAnsi" w:hAnsiTheme="minorHAnsi" w:cstheme="minorHAnsi"/>
        </w:rPr>
      </w:pPr>
    </w:p>
    <w:p w:rsidR="00604C10" w:rsidRPr="00716676" w:rsidRDefault="00716676" w:rsidP="00A23489">
      <w:pPr>
        <w:pBdr>
          <w:top w:val="single" w:sz="4" w:space="1" w:color="auto"/>
          <w:left w:val="single" w:sz="4" w:space="4" w:color="auto"/>
          <w:bottom w:val="single" w:sz="4" w:space="1" w:color="auto"/>
          <w:right w:val="single" w:sz="4" w:space="4" w:color="auto"/>
        </w:pBdr>
        <w:tabs>
          <w:tab w:val="left" w:pos="1740"/>
        </w:tabs>
        <w:spacing w:line="360" w:lineRule="auto"/>
        <w:jc w:val="both"/>
        <w:rPr>
          <w:rFonts w:asciiTheme="minorHAnsi" w:hAnsiTheme="minorHAnsi" w:cstheme="minorHAnsi"/>
          <w:i/>
          <w:sz w:val="32"/>
          <w:szCs w:val="32"/>
        </w:rPr>
      </w:pPr>
      <m:oMathPara>
        <m:oMath>
          <m:r>
            <w:rPr>
              <w:rFonts w:ascii="Cambria Math" w:hAnsi="Cambria Math" w:cstheme="minorHAnsi"/>
              <w:sz w:val="32"/>
              <w:szCs w:val="32"/>
            </w:rPr>
            <m:t>Nettoverkaufspreis+Mehrwertsteuer=Inklusivpreis</m:t>
          </m:r>
        </m:oMath>
      </m:oMathPara>
    </w:p>
    <w:p w:rsidR="00D30202" w:rsidRPr="00A23489" w:rsidRDefault="00D30202" w:rsidP="00C01DA6">
      <w:pPr>
        <w:spacing w:line="360" w:lineRule="auto"/>
        <w:rPr>
          <w:rFonts w:asciiTheme="minorHAnsi" w:hAnsiTheme="minorHAnsi" w:cstheme="minorHAnsi"/>
          <w:sz w:val="28"/>
          <w:szCs w:val="28"/>
        </w:rPr>
      </w:pPr>
    </w:p>
    <w:p w:rsidR="00E87689" w:rsidRPr="00A23489" w:rsidRDefault="00C01DA6" w:rsidP="00C01DA6">
      <w:pPr>
        <w:spacing w:line="360" w:lineRule="auto"/>
        <w:rPr>
          <w:rFonts w:asciiTheme="minorHAnsi" w:hAnsiTheme="minorHAnsi" w:cstheme="minorHAnsi"/>
        </w:rPr>
      </w:pPr>
      <w:r w:rsidRPr="00A23489">
        <w:rPr>
          <w:rFonts w:asciiTheme="minorHAnsi" w:hAnsiTheme="minorHAnsi" w:cstheme="minorHAnsi"/>
        </w:rPr>
        <w:t>Der Inklusivpreis ist der Preis, den wir auf der Speisekarte finden. Er wird auch als Bruttoverkaufspreis bezeichnet.</w:t>
      </w:r>
    </w:p>
    <w:p w:rsidR="00E87689" w:rsidRPr="00A23489" w:rsidRDefault="00E87689" w:rsidP="00E87689">
      <w:pPr>
        <w:rPr>
          <w:rFonts w:asciiTheme="minorHAnsi" w:hAnsiTheme="minorHAnsi" w:cstheme="minorHAnsi"/>
        </w:rPr>
      </w:pPr>
    </w:p>
    <w:p w:rsidR="00E87689" w:rsidRPr="00A23489" w:rsidRDefault="00E87689" w:rsidP="00E87689">
      <w:pPr>
        <w:rPr>
          <w:rFonts w:asciiTheme="minorHAnsi" w:hAnsiTheme="minorHAnsi" w:cstheme="minorHAnsi"/>
        </w:rPr>
      </w:pPr>
    </w:p>
    <w:p w:rsidR="00E87689" w:rsidRPr="00A23489" w:rsidRDefault="00E87689" w:rsidP="00E87689">
      <w:pPr>
        <w:jc w:val="center"/>
        <w:rPr>
          <w:rFonts w:asciiTheme="minorHAnsi" w:hAnsiTheme="minorHAnsi" w:cstheme="minorHAnsi"/>
          <w:b/>
          <w:sz w:val="32"/>
          <w:szCs w:val="32"/>
        </w:rPr>
      </w:pPr>
      <w:r w:rsidRPr="00A23489">
        <w:rPr>
          <w:rFonts w:asciiTheme="minorHAnsi" w:hAnsiTheme="minorHAnsi" w:cstheme="minorHAnsi"/>
          <w:b/>
          <w:sz w:val="32"/>
          <w:szCs w:val="32"/>
        </w:rPr>
        <w:t>Kalkulation mit Kalkulationsfaktor</w:t>
      </w:r>
    </w:p>
    <w:p w:rsidR="00E87689" w:rsidRPr="00A23489" w:rsidRDefault="00E87689" w:rsidP="00E87689">
      <w:pPr>
        <w:rPr>
          <w:rFonts w:asciiTheme="minorHAnsi" w:hAnsiTheme="minorHAnsi" w:cstheme="minorHAnsi"/>
          <w:sz w:val="32"/>
          <w:szCs w:val="32"/>
        </w:rPr>
      </w:pPr>
    </w:p>
    <w:p w:rsidR="00C01DA6" w:rsidRPr="00A23489" w:rsidRDefault="00E87689" w:rsidP="00E87689">
      <w:pPr>
        <w:spacing w:line="360" w:lineRule="auto"/>
        <w:rPr>
          <w:rFonts w:asciiTheme="minorHAnsi" w:hAnsiTheme="minorHAnsi" w:cstheme="minorHAnsi"/>
        </w:rPr>
      </w:pPr>
      <w:r w:rsidRPr="00A23489">
        <w:rPr>
          <w:rFonts w:asciiTheme="minorHAnsi" w:hAnsiTheme="minorHAnsi" w:cstheme="minorHAnsi"/>
        </w:rPr>
        <w:t xml:space="preserve">Für eine vereinfachte Kalkulation wird auch der Kalkulationsfaktor verwendet. </w:t>
      </w:r>
    </w:p>
    <w:p w:rsidR="00E87689" w:rsidRPr="00A23489" w:rsidRDefault="00E87689" w:rsidP="00E87689">
      <w:pPr>
        <w:spacing w:line="360" w:lineRule="auto"/>
        <w:rPr>
          <w:rFonts w:asciiTheme="minorHAnsi" w:hAnsiTheme="minorHAnsi" w:cstheme="minorHAnsi"/>
        </w:rPr>
      </w:pPr>
      <w:r w:rsidRPr="00A23489">
        <w:rPr>
          <w:rFonts w:asciiTheme="minorHAnsi" w:hAnsiTheme="minorHAnsi" w:cstheme="minorHAnsi"/>
        </w:rPr>
        <w:t>Der Kalkulationsfaktor stellt das Verhältnis des Inklusivpreises zu den Materialkosten dar. Der Kalkulationsfaktor ist nur eine Zahl, er hat keine Einheit.</w:t>
      </w:r>
    </w:p>
    <w:p w:rsidR="00E87689" w:rsidRPr="00716676" w:rsidRDefault="00716676" w:rsidP="00716676">
      <w:pPr>
        <w:pBdr>
          <w:top w:val="single" w:sz="4" w:space="1" w:color="auto"/>
          <w:left w:val="single" w:sz="4" w:space="4" w:color="auto"/>
          <w:bottom w:val="single" w:sz="4" w:space="1" w:color="auto"/>
          <w:right w:val="single" w:sz="4" w:space="4" w:color="auto"/>
        </w:pBdr>
        <w:rPr>
          <w:rFonts w:asciiTheme="minorHAnsi" w:hAnsiTheme="minorHAnsi" w:cstheme="minorHAnsi"/>
          <w:sz w:val="32"/>
        </w:rPr>
      </w:pPr>
      <m:oMathPara>
        <m:oMath>
          <m:r>
            <w:rPr>
              <w:rFonts w:ascii="Cambria Math" w:hAnsi="Cambria Math" w:cstheme="minorHAnsi"/>
              <w:sz w:val="32"/>
            </w:rPr>
            <m:t>Materialkosten×Kalkulationsfaktor=Inklusivpreis</m:t>
          </m:r>
        </m:oMath>
      </m:oMathPara>
    </w:p>
    <w:p w:rsidR="00E87689" w:rsidRPr="00A23489" w:rsidRDefault="00E87689" w:rsidP="00E87689">
      <w:pPr>
        <w:rPr>
          <w:rFonts w:asciiTheme="minorHAnsi" w:hAnsiTheme="minorHAnsi" w:cstheme="minorHAnsi"/>
        </w:rPr>
      </w:pPr>
    </w:p>
    <w:p w:rsidR="00E87689" w:rsidRDefault="00E87689" w:rsidP="00E87689">
      <w:pPr>
        <w:rPr>
          <w:rFonts w:asciiTheme="minorHAnsi" w:hAnsiTheme="minorHAnsi" w:cstheme="minorHAnsi"/>
        </w:rPr>
      </w:pPr>
      <w:r w:rsidRPr="00A23489">
        <w:rPr>
          <w:rFonts w:asciiTheme="minorHAnsi" w:hAnsiTheme="minorHAnsi" w:cstheme="minorHAnsi"/>
        </w:rPr>
        <w:t>Diese Formel kann umgestellt werden</w:t>
      </w:r>
      <w:r w:rsidR="00716676">
        <w:rPr>
          <w:rFonts w:asciiTheme="minorHAnsi" w:hAnsiTheme="minorHAnsi" w:cstheme="minorHAnsi"/>
        </w:rPr>
        <w:t>:</w:t>
      </w:r>
    </w:p>
    <w:p w:rsidR="00716676" w:rsidRPr="00A23489" w:rsidRDefault="00716676" w:rsidP="00E87689">
      <w:pPr>
        <w:rPr>
          <w:rFonts w:asciiTheme="minorHAnsi" w:hAnsiTheme="minorHAnsi" w:cstheme="minorHAnsi"/>
        </w:rPr>
      </w:pPr>
    </w:p>
    <w:p w:rsidR="00E87689" w:rsidRPr="00716676" w:rsidRDefault="00716676" w:rsidP="00E87689">
      <w:pPr>
        <w:rPr>
          <w:rFonts w:asciiTheme="minorHAnsi" w:hAnsiTheme="minorHAnsi" w:cstheme="minorHAnsi"/>
          <w:sz w:val="32"/>
          <w:szCs w:val="32"/>
        </w:rPr>
      </w:pPr>
      <m:oMathPara>
        <m:oMath>
          <m:r>
            <w:rPr>
              <w:rFonts w:ascii="Cambria Math" w:hAnsi="Cambria Math" w:cstheme="minorHAnsi"/>
              <w:sz w:val="32"/>
              <w:szCs w:val="32"/>
            </w:rPr>
            <m:t>Inklusivpreis÷Kalkulationsfaktor=Materialkosten</m:t>
          </m:r>
        </m:oMath>
      </m:oMathPara>
    </w:p>
    <w:p w:rsidR="00716676" w:rsidRPr="00716676" w:rsidRDefault="00716676" w:rsidP="00E87689">
      <w:pPr>
        <w:rPr>
          <w:rFonts w:asciiTheme="minorHAnsi" w:hAnsiTheme="minorHAnsi" w:cstheme="minorHAnsi"/>
          <w:sz w:val="32"/>
          <w:szCs w:val="32"/>
        </w:rPr>
      </w:pPr>
    </w:p>
    <w:p w:rsidR="00E87689" w:rsidRPr="00716676" w:rsidRDefault="00716676" w:rsidP="00E87689">
      <w:pPr>
        <w:rPr>
          <w:rFonts w:asciiTheme="minorHAnsi" w:hAnsiTheme="minorHAnsi" w:cstheme="minorHAnsi"/>
          <w:sz w:val="32"/>
          <w:szCs w:val="32"/>
        </w:rPr>
      </w:pPr>
      <m:oMathPara>
        <m:oMath>
          <m:r>
            <w:rPr>
              <w:rFonts w:ascii="Cambria Math" w:hAnsi="Cambria Math" w:cstheme="minorHAnsi"/>
              <w:sz w:val="32"/>
              <w:szCs w:val="32"/>
            </w:rPr>
            <m:t>Inklusivpreis÷Materialkosten=Kalkulationsfaktor</m:t>
          </m:r>
        </m:oMath>
      </m:oMathPara>
    </w:p>
    <w:p w:rsidR="00E87689" w:rsidRPr="00A23489" w:rsidRDefault="00E87689" w:rsidP="00E87689">
      <w:pPr>
        <w:rPr>
          <w:rFonts w:asciiTheme="minorHAnsi" w:hAnsiTheme="minorHAnsi" w:cstheme="minorHAnsi"/>
        </w:rPr>
      </w:pPr>
    </w:p>
    <w:sectPr w:rsidR="00E87689" w:rsidRPr="00A23489" w:rsidSect="001D4569">
      <w:headerReference w:type="default" r:id="rId8"/>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179" w:rsidRDefault="004C1179">
      <w:r>
        <w:separator/>
      </w:r>
    </w:p>
  </w:endnote>
  <w:endnote w:type="continuationSeparator" w:id="0">
    <w:p w:rsidR="004C1179" w:rsidRDefault="004C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179" w:rsidRDefault="004C1179">
      <w:r>
        <w:separator/>
      </w:r>
    </w:p>
  </w:footnote>
  <w:footnote w:type="continuationSeparator" w:id="0">
    <w:p w:rsidR="004C1179" w:rsidRDefault="004C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502" w:rsidRDefault="006C3502" w:rsidP="006C3502">
    <w:pPr>
      <w:pStyle w:val="docdata"/>
      <w:pBdr>
        <w:bottom w:val="single" w:sz="4" w:space="0" w:color="000000"/>
      </w:pBdr>
      <w:tabs>
        <w:tab w:val="left" w:pos="4537"/>
        <w:tab w:val="left" w:pos="9073"/>
      </w:tabs>
      <w:spacing w:before="0" w:beforeAutospacing="0" w:after="0" w:afterAutospacing="0"/>
    </w:pPr>
    <w:r>
      <w:rPr>
        <w:rFonts w:ascii="Calibri" w:hAnsi="Calibri" w:cs="Calibri"/>
        <w:b/>
        <w:bCs/>
        <w:color w:val="000000"/>
        <w:sz w:val="28"/>
        <w:szCs w:val="28"/>
      </w:rPr>
      <w:t>KÜCHE UND ERNÄHRUNG 12</w:t>
    </w:r>
  </w:p>
  <w:p w:rsidR="006C3502" w:rsidRDefault="006C3502" w:rsidP="006C3502">
    <w:pPr>
      <w:pStyle w:val="StandardWeb"/>
      <w:pBdr>
        <w:bottom w:val="single" w:sz="4" w:space="0" w:color="000000"/>
      </w:pBdr>
      <w:tabs>
        <w:tab w:val="left" w:pos="4537"/>
        <w:tab w:val="left" w:pos="9073"/>
      </w:tabs>
      <w:spacing w:before="0" w:beforeAutospacing="0" w:after="0" w:afterAutospacing="0"/>
    </w:pPr>
    <w:r>
      <w:rPr>
        <w:rFonts w:ascii="Calibri" w:hAnsi="Calibri" w:cs="Calibri"/>
        <w:i/>
        <w:iCs/>
        <w:color w:val="000000"/>
        <w:sz w:val="20"/>
        <w:szCs w:val="20"/>
      </w:rPr>
      <w:t>Lernfeld: Speisenangebote für Veranstaltungen gastorientiert planen</w:t>
    </w:r>
  </w:p>
  <w:p w:rsidR="006C3502" w:rsidRDefault="006C3502" w:rsidP="006C3502">
    <w:pPr>
      <w:pStyle w:val="StandardWeb"/>
      <w:pBdr>
        <w:bottom w:val="single" w:sz="4" w:space="0" w:color="000000"/>
      </w:pBdr>
      <w:tabs>
        <w:tab w:val="left" w:pos="4537"/>
        <w:tab w:val="left" w:pos="7230"/>
        <w:tab w:val="left" w:pos="9073"/>
      </w:tabs>
      <w:spacing w:before="0" w:beforeAutospacing="0" w:after="0" w:afterAutospacing="0"/>
    </w:pPr>
    <w:r>
      <w:rPr>
        <w:rFonts w:ascii="Calibri" w:hAnsi="Calibri" w:cs="Calibri"/>
        <w:color w:val="000000"/>
      </w:rPr>
      <w:t xml:space="preserve">Name: </w:t>
    </w:r>
    <w:r>
      <w:rPr>
        <w:rFonts w:ascii="Calibri" w:hAnsi="Calibri" w:cs="Calibri"/>
        <w:color w:val="000000"/>
      </w:rPr>
      <w:tab/>
      <w:t xml:space="preserve">Klasse: </w:t>
    </w:r>
    <w:r>
      <w:rPr>
        <w:rFonts w:ascii="Calibri" w:hAnsi="Calibri" w:cs="Calibri"/>
        <w:color w:val="000000"/>
      </w:rPr>
      <w:tab/>
      <w:t>Datum:</w:t>
    </w:r>
  </w:p>
  <w:p w:rsidR="007B5DE8" w:rsidRPr="007B5DE8" w:rsidRDefault="007B5DE8">
    <w:pPr>
      <w:pStyle w:val="Kopfzeile"/>
      <w:rPr>
        <w:rFonts w:ascii="Arial" w:hAnsi="Arial" w:cs="Arial"/>
        <w:sz w:val="22"/>
        <w:szCs w:val="22"/>
        <w:u w:val="single"/>
      </w:rPr>
    </w:pPr>
  </w:p>
  <w:p w:rsidR="007B5DE8" w:rsidRPr="007B5DE8" w:rsidRDefault="007B5DE8">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808CD"/>
    <w:multiLevelType w:val="hybridMultilevel"/>
    <w:tmpl w:val="8974CA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A4EC9"/>
    <w:multiLevelType w:val="multilevel"/>
    <w:tmpl w:val="7288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50B0F"/>
    <w:multiLevelType w:val="hybridMultilevel"/>
    <w:tmpl w:val="99D4CAE0"/>
    <w:lvl w:ilvl="0" w:tplc="7D1E6552">
      <w:numFmt w:val="bullet"/>
      <w:lvlText w:val=""/>
      <w:lvlJc w:val="left"/>
      <w:pPr>
        <w:tabs>
          <w:tab w:val="num" w:pos="720"/>
        </w:tabs>
        <w:ind w:left="720" w:hanging="360"/>
      </w:pPr>
      <w:rPr>
        <w:rFonts w:ascii="Wingdings" w:eastAsia="Times New Roman" w:hAnsi="Wingdings" w:cs="Times New Roman"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B14786"/>
    <w:multiLevelType w:val="hybridMultilevel"/>
    <w:tmpl w:val="0CFECC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EC08D9"/>
    <w:multiLevelType w:val="hybridMultilevel"/>
    <w:tmpl w:val="584258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851AC"/>
    <w:multiLevelType w:val="hybridMultilevel"/>
    <w:tmpl w:val="EC5AF0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2871F6D"/>
    <w:multiLevelType w:val="hybridMultilevel"/>
    <w:tmpl w:val="886042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6"/>
  </w:num>
  <w:num w:numId="6">
    <w:abstractNumId w:val="5"/>
  </w:num>
  <w:num w:numId="7">
    <w:abstractNumId w:val="1"/>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2D4"/>
    <w:rsid w:val="00032F29"/>
    <w:rsid w:val="00050ADB"/>
    <w:rsid w:val="00064D47"/>
    <w:rsid w:val="000E75B4"/>
    <w:rsid w:val="00172281"/>
    <w:rsid w:val="001D4569"/>
    <w:rsid w:val="001E6AAF"/>
    <w:rsid w:val="0022503D"/>
    <w:rsid w:val="0023027F"/>
    <w:rsid w:val="0027379B"/>
    <w:rsid w:val="00285569"/>
    <w:rsid w:val="0036110A"/>
    <w:rsid w:val="003667DF"/>
    <w:rsid w:val="003E122D"/>
    <w:rsid w:val="0041625B"/>
    <w:rsid w:val="00422572"/>
    <w:rsid w:val="00446A7F"/>
    <w:rsid w:val="00467D1B"/>
    <w:rsid w:val="004C1179"/>
    <w:rsid w:val="004D47A9"/>
    <w:rsid w:val="00550EFB"/>
    <w:rsid w:val="00575107"/>
    <w:rsid w:val="005B4A03"/>
    <w:rsid w:val="005B4EF2"/>
    <w:rsid w:val="00604C10"/>
    <w:rsid w:val="006422D4"/>
    <w:rsid w:val="006C3502"/>
    <w:rsid w:val="006F737E"/>
    <w:rsid w:val="00701755"/>
    <w:rsid w:val="00716676"/>
    <w:rsid w:val="0079138F"/>
    <w:rsid w:val="007922E2"/>
    <w:rsid w:val="007B5DE8"/>
    <w:rsid w:val="007F4579"/>
    <w:rsid w:val="0081460F"/>
    <w:rsid w:val="0083081A"/>
    <w:rsid w:val="00896189"/>
    <w:rsid w:val="00A23489"/>
    <w:rsid w:val="00A47A90"/>
    <w:rsid w:val="00AC57CB"/>
    <w:rsid w:val="00B2126E"/>
    <w:rsid w:val="00B25E7E"/>
    <w:rsid w:val="00B40247"/>
    <w:rsid w:val="00BD7691"/>
    <w:rsid w:val="00BD7F9A"/>
    <w:rsid w:val="00C01DA6"/>
    <w:rsid w:val="00C02EA5"/>
    <w:rsid w:val="00C4665E"/>
    <w:rsid w:val="00C66457"/>
    <w:rsid w:val="00C668E6"/>
    <w:rsid w:val="00C97A6A"/>
    <w:rsid w:val="00CF1492"/>
    <w:rsid w:val="00D30202"/>
    <w:rsid w:val="00D732EF"/>
    <w:rsid w:val="00DA7D50"/>
    <w:rsid w:val="00E153B3"/>
    <w:rsid w:val="00E87689"/>
    <w:rsid w:val="00EE31FC"/>
    <w:rsid w:val="00F174C7"/>
    <w:rsid w:val="00F22A29"/>
    <w:rsid w:val="00F25C3C"/>
    <w:rsid w:val="00FE29D4"/>
    <w:rsid w:val="00FF1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A29E1"/>
  <w15:chartTrackingRefBased/>
  <w15:docId w15:val="{279A8E7B-5B58-4773-B894-F0300E50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422D4"/>
    <w:rPr>
      <w:sz w:val="24"/>
      <w:szCs w:val="24"/>
    </w:rPr>
  </w:style>
  <w:style w:type="character" w:default="1" w:styleId="Absatz-Standardschriftart">
    <w:name w:val="Default Paragraph Font"/>
    <w:semiHidden/>
    <w:rsid w:val="006422D4"/>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6422D4"/>
  </w:style>
  <w:style w:type="paragraph" w:styleId="Kopfzeile">
    <w:name w:val="header"/>
    <w:basedOn w:val="Standard"/>
    <w:rsid w:val="006422D4"/>
    <w:pPr>
      <w:tabs>
        <w:tab w:val="center" w:pos="4536"/>
        <w:tab w:val="right" w:pos="9072"/>
      </w:tabs>
    </w:pPr>
  </w:style>
  <w:style w:type="table" w:styleId="Tabellenraster">
    <w:name w:val="Table Grid"/>
    <w:basedOn w:val="NormaleTabelle"/>
    <w:rsid w:val="0064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5B4A03"/>
    <w:pPr>
      <w:tabs>
        <w:tab w:val="center" w:pos="4536"/>
        <w:tab w:val="right" w:pos="9072"/>
      </w:tabs>
    </w:pPr>
  </w:style>
  <w:style w:type="paragraph" w:styleId="Sprechblasentext">
    <w:name w:val="Balloon Text"/>
    <w:basedOn w:val="Standard"/>
    <w:semiHidden/>
    <w:rsid w:val="00C4665E"/>
    <w:rPr>
      <w:rFonts w:ascii="Tahoma" w:hAnsi="Tahoma" w:cs="Tahoma"/>
      <w:sz w:val="16"/>
      <w:szCs w:val="16"/>
    </w:rPr>
  </w:style>
  <w:style w:type="character" w:styleId="Fett">
    <w:name w:val="Strong"/>
    <w:uiPriority w:val="22"/>
    <w:qFormat/>
    <w:rsid w:val="00C668E6"/>
    <w:rPr>
      <w:b/>
      <w:bCs/>
    </w:rPr>
  </w:style>
  <w:style w:type="paragraph" w:customStyle="1" w:styleId="hinweis">
    <w:name w:val="hinweis"/>
    <w:basedOn w:val="Standard"/>
    <w:rsid w:val="00C668E6"/>
    <w:pPr>
      <w:spacing w:before="100" w:beforeAutospacing="1" w:after="100" w:afterAutospacing="1"/>
    </w:pPr>
  </w:style>
  <w:style w:type="character" w:customStyle="1" w:styleId="underline">
    <w:name w:val="underline"/>
    <w:rsid w:val="00C668E6"/>
  </w:style>
  <w:style w:type="character" w:styleId="Hyperlink">
    <w:name w:val="Hyperlink"/>
    <w:uiPriority w:val="99"/>
    <w:unhideWhenUsed/>
    <w:rsid w:val="00C668E6"/>
    <w:rPr>
      <w:color w:val="0000FF"/>
      <w:u w:val="single"/>
    </w:rPr>
  </w:style>
  <w:style w:type="paragraph" w:styleId="StandardWeb">
    <w:name w:val="Normal (Web)"/>
    <w:basedOn w:val="Standard"/>
    <w:uiPriority w:val="99"/>
    <w:unhideWhenUsed/>
    <w:rsid w:val="006C3502"/>
    <w:pPr>
      <w:spacing w:before="100" w:beforeAutospacing="1" w:after="100" w:afterAutospacing="1"/>
    </w:pPr>
  </w:style>
  <w:style w:type="paragraph" w:customStyle="1" w:styleId="docdata">
    <w:name w:val="docdata"/>
    <w:aliases w:val="docy,v5,2060,bqiaagaaeyqcaaagiaiaaaombqaabbqfaaaaaaaaaaaaaaaaaaaaaaaaaaaaaaaaaaaaaaaaaaaaaaaaaaaaaaaaaaaaaaaaaaaaaaaaaaaaaaaaaaaaaaaaaaaaaaaaaaaaaaaaaaaaaaaaaaaaaaaaaaaaaaaaaaaaaaaaaaaaaaaaaaaaaaaaaaaaaaaaaaaaaaaaaaaaaaaaaaaaaaaaaaaaaaaaaaaaaaaa"/>
    <w:basedOn w:val="Standard"/>
    <w:uiPriority w:val="99"/>
    <w:semiHidden/>
    <w:rsid w:val="006C3502"/>
    <w:pPr>
      <w:spacing w:before="100" w:beforeAutospacing="1" w:after="100" w:afterAutospacing="1"/>
    </w:pPr>
  </w:style>
  <w:style w:type="character" w:styleId="Platzhaltertext">
    <w:name w:val="Placeholder Text"/>
    <w:basedOn w:val="Absatz-Standardschriftart"/>
    <w:uiPriority w:val="99"/>
    <w:semiHidden/>
    <w:rsid w:val="00A234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844661">
      <w:bodyDiv w:val="1"/>
      <w:marLeft w:val="0"/>
      <w:marRight w:val="0"/>
      <w:marTop w:val="0"/>
      <w:marBottom w:val="0"/>
      <w:divBdr>
        <w:top w:val="none" w:sz="0" w:space="0" w:color="auto"/>
        <w:left w:val="none" w:sz="0" w:space="0" w:color="auto"/>
        <w:bottom w:val="none" w:sz="0" w:space="0" w:color="auto"/>
        <w:right w:val="none" w:sz="0" w:space="0" w:color="auto"/>
      </w:divBdr>
    </w:div>
    <w:div w:id="1619489631">
      <w:bodyDiv w:val="1"/>
      <w:marLeft w:val="0"/>
      <w:marRight w:val="0"/>
      <w:marTop w:val="0"/>
      <w:marBottom w:val="0"/>
      <w:divBdr>
        <w:top w:val="none" w:sz="0" w:space="0" w:color="auto"/>
        <w:left w:val="none" w:sz="0" w:space="0" w:color="auto"/>
        <w:bottom w:val="none" w:sz="0" w:space="0" w:color="auto"/>
        <w:right w:val="none" w:sz="0" w:space="0" w:color="auto"/>
      </w:divBdr>
    </w:div>
    <w:div w:id="1732457992">
      <w:bodyDiv w:val="1"/>
      <w:marLeft w:val="0"/>
      <w:marRight w:val="0"/>
      <w:marTop w:val="0"/>
      <w:marBottom w:val="0"/>
      <w:divBdr>
        <w:top w:val="none" w:sz="0" w:space="0" w:color="auto"/>
        <w:left w:val="none" w:sz="0" w:space="0" w:color="auto"/>
        <w:bottom w:val="none" w:sz="0" w:space="0" w:color="auto"/>
        <w:right w:val="none" w:sz="0" w:space="0" w:color="auto"/>
      </w:divBdr>
    </w:div>
    <w:div w:id="187010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31719532554256"/>
          <c:y val="1.4492753623188406E-2"/>
          <c:w val="0.34223706176961605"/>
          <c:h val="0.99033816425120769"/>
        </c:manualLayout>
      </c:layout>
      <c:pieChart>
        <c:varyColors val="1"/>
        <c:ser>
          <c:idx val="0"/>
          <c:order val="0"/>
          <c:tx>
            <c:strRef>
              <c:f>Sheet1!$A$2</c:f>
              <c:strCache>
                <c:ptCount val="1"/>
                <c:pt idx="0">
                  <c:v>Ost</c:v>
                </c:pt>
              </c:strCache>
            </c:strRef>
          </c:tx>
          <c:spPr>
            <a:solidFill>
              <a:srgbClr val="9999FF"/>
            </a:solidFill>
            <a:ln w="12719">
              <a:solidFill>
                <a:srgbClr val="000000"/>
              </a:solidFill>
              <a:prstDash val="solid"/>
            </a:ln>
          </c:spPr>
          <c:dPt>
            <c:idx val="0"/>
            <c:bubble3D val="0"/>
            <c:extLst>
              <c:ext xmlns:c16="http://schemas.microsoft.com/office/drawing/2014/chart" uri="{C3380CC4-5D6E-409C-BE32-E72D297353CC}">
                <c16:uniqueId val="{00000000-F793-4EFE-9C73-C1421372E327}"/>
              </c:ext>
            </c:extLst>
          </c:dPt>
          <c:dPt>
            <c:idx val="1"/>
            <c:bubble3D val="0"/>
            <c:spPr>
              <a:solidFill>
                <a:srgbClr val="993366"/>
              </a:solidFill>
              <a:ln w="12719">
                <a:solidFill>
                  <a:srgbClr val="000000"/>
                </a:solidFill>
                <a:prstDash val="solid"/>
              </a:ln>
            </c:spPr>
            <c:extLst>
              <c:ext xmlns:c16="http://schemas.microsoft.com/office/drawing/2014/chart" uri="{C3380CC4-5D6E-409C-BE32-E72D297353CC}">
                <c16:uniqueId val="{00000001-F793-4EFE-9C73-C1421372E327}"/>
              </c:ext>
            </c:extLst>
          </c:dPt>
          <c:dPt>
            <c:idx val="2"/>
            <c:bubble3D val="0"/>
            <c:spPr>
              <a:solidFill>
                <a:srgbClr val="FFFFCC"/>
              </a:solidFill>
              <a:ln w="12719">
                <a:solidFill>
                  <a:srgbClr val="000000"/>
                </a:solidFill>
                <a:prstDash val="solid"/>
              </a:ln>
            </c:spPr>
            <c:extLst>
              <c:ext xmlns:c16="http://schemas.microsoft.com/office/drawing/2014/chart" uri="{C3380CC4-5D6E-409C-BE32-E72D297353CC}">
                <c16:uniqueId val="{00000002-F793-4EFE-9C73-C1421372E327}"/>
              </c:ext>
            </c:extLst>
          </c:dPt>
          <c:dPt>
            <c:idx val="3"/>
            <c:bubble3D val="0"/>
            <c:spPr>
              <a:solidFill>
                <a:srgbClr val="CCFFFF"/>
              </a:solidFill>
              <a:ln w="12719">
                <a:solidFill>
                  <a:srgbClr val="000000"/>
                </a:solidFill>
                <a:prstDash val="solid"/>
              </a:ln>
            </c:spPr>
            <c:extLst>
              <c:ext xmlns:c16="http://schemas.microsoft.com/office/drawing/2014/chart" uri="{C3380CC4-5D6E-409C-BE32-E72D297353CC}">
                <c16:uniqueId val="{00000003-F793-4EFE-9C73-C1421372E327}"/>
              </c:ext>
            </c:extLst>
          </c:dPt>
          <c:dPt>
            <c:idx val="4"/>
            <c:bubble3D val="0"/>
            <c:spPr>
              <a:solidFill>
                <a:srgbClr val="660066"/>
              </a:solidFill>
              <a:ln w="12719">
                <a:solidFill>
                  <a:srgbClr val="000000"/>
                </a:solidFill>
                <a:prstDash val="solid"/>
              </a:ln>
            </c:spPr>
            <c:extLst>
              <c:ext xmlns:c16="http://schemas.microsoft.com/office/drawing/2014/chart" uri="{C3380CC4-5D6E-409C-BE32-E72D297353CC}">
                <c16:uniqueId val="{00000004-F793-4EFE-9C73-C1421372E327}"/>
              </c:ext>
            </c:extLst>
          </c:dPt>
          <c:cat>
            <c:strRef>
              <c:f>Sheet1!$B$1:$F$1</c:f>
              <c:strCache>
                <c:ptCount val="5"/>
                <c:pt idx="0">
                  <c:v>Materialkosten</c:v>
                </c:pt>
                <c:pt idx="1">
                  <c:v>Gemeinkosten</c:v>
                </c:pt>
                <c:pt idx="2">
                  <c:v>Gewinn</c:v>
                </c:pt>
                <c:pt idx="3">
                  <c:v>Umsatzbeteiligung</c:v>
                </c:pt>
                <c:pt idx="4">
                  <c:v>Mehrwertsteuer</c:v>
                </c:pt>
              </c:strCache>
            </c:strRef>
          </c:cat>
          <c:val>
            <c:numRef>
              <c:f>Sheet1!$B$2:$F$2</c:f>
              <c:numCache>
                <c:formatCode>General</c:formatCode>
                <c:ptCount val="5"/>
                <c:pt idx="0">
                  <c:v>100</c:v>
                </c:pt>
                <c:pt idx="1">
                  <c:v>140</c:v>
                </c:pt>
                <c:pt idx="2">
                  <c:v>15</c:v>
                </c:pt>
                <c:pt idx="3">
                  <c:v>12</c:v>
                </c:pt>
                <c:pt idx="4">
                  <c:v>19</c:v>
                </c:pt>
              </c:numCache>
            </c:numRef>
          </c:val>
          <c:extLst>
            <c:ext xmlns:c16="http://schemas.microsoft.com/office/drawing/2014/chart" uri="{C3380CC4-5D6E-409C-BE32-E72D297353CC}">
              <c16:uniqueId val="{00000005-F793-4EFE-9C73-C1421372E327}"/>
            </c:ext>
          </c:extLst>
        </c:ser>
        <c:ser>
          <c:idx val="1"/>
          <c:order val="1"/>
          <c:tx>
            <c:strRef>
              <c:f>Sheet1!$A$3</c:f>
              <c:strCache>
                <c:ptCount val="1"/>
                <c:pt idx="0">
                  <c:v>West</c:v>
                </c:pt>
              </c:strCache>
            </c:strRef>
          </c:tx>
          <c:spPr>
            <a:solidFill>
              <a:srgbClr val="993366"/>
            </a:solidFill>
            <a:ln w="12719">
              <a:solidFill>
                <a:srgbClr val="000000"/>
              </a:solidFill>
              <a:prstDash val="solid"/>
            </a:ln>
          </c:spPr>
          <c:dPt>
            <c:idx val="0"/>
            <c:bubble3D val="0"/>
            <c:spPr>
              <a:solidFill>
                <a:srgbClr val="9999FF"/>
              </a:solidFill>
              <a:ln w="12719">
                <a:solidFill>
                  <a:srgbClr val="000000"/>
                </a:solidFill>
                <a:prstDash val="solid"/>
              </a:ln>
            </c:spPr>
            <c:extLst>
              <c:ext xmlns:c16="http://schemas.microsoft.com/office/drawing/2014/chart" uri="{C3380CC4-5D6E-409C-BE32-E72D297353CC}">
                <c16:uniqueId val="{00000006-F793-4EFE-9C73-C1421372E327}"/>
              </c:ext>
            </c:extLst>
          </c:dPt>
          <c:dPt>
            <c:idx val="1"/>
            <c:bubble3D val="0"/>
            <c:extLst>
              <c:ext xmlns:c16="http://schemas.microsoft.com/office/drawing/2014/chart" uri="{C3380CC4-5D6E-409C-BE32-E72D297353CC}">
                <c16:uniqueId val="{00000007-F793-4EFE-9C73-C1421372E327}"/>
              </c:ext>
            </c:extLst>
          </c:dPt>
          <c:dPt>
            <c:idx val="2"/>
            <c:bubble3D val="0"/>
            <c:spPr>
              <a:solidFill>
                <a:srgbClr val="FFFFCC"/>
              </a:solidFill>
              <a:ln w="12719">
                <a:solidFill>
                  <a:srgbClr val="000000"/>
                </a:solidFill>
                <a:prstDash val="solid"/>
              </a:ln>
            </c:spPr>
            <c:extLst>
              <c:ext xmlns:c16="http://schemas.microsoft.com/office/drawing/2014/chart" uri="{C3380CC4-5D6E-409C-BE32-E72D297353CC}">
                <c16:uniqueId val="{00000008-F793-4EFE-9C73-C1421372E327}"/>
              </c:ext>
            </c:extLst>
          </c:dPt>
          <c:dPt>
            <c:idx val="3"/>
            <c:bubble3D val="0"/>
            <c:spPr>
              <a:solidFill>
                <a:srgbClr val="CCFFFF"/>
              </a:solidFill>
              <a:ln w="12719">
                <a:solidFill>
                  <a:srgbClr val="000000"/>
                </a:solidFill>
                <a:prstDash val="solid"/>
              </a:ln>
            </c:spPr>
            <c:extLst>
              <c:ext xmlns:c16="http://schemas.microsoft.com/office/drawing/2014/chart" uri="{C3380CC4-5D6E-409C-BE32-E72D297353CC}">
                <c16:uniqueId val="{00000009-F793-4EFE-9C73-C1421372E327}"/>
              </c:ext>
            </c:extLst>
          </c:dPt>
          <c:dPt>
            <c:idx val="4"/>
            <c:bubble3D val="0"/>
            <c:spPr>
              <a:solidFill>
                <a:srgbClr val="660066"/>
              </a:solidFill>
              <a:ln w="12719">
                <a:solidFill>
                  <a:srgbClr val="000000"/>
                </a:solidFill>
                <a:prstDash val="solid"/>
              </a:ln>
            </c:spPr>
            <c:extLst>
              <c:ext xmlns:c16="http://schemas.microsoft.com/office/drawing/2014/chart" uri="{C3380CC4-5D6E-409C-BE32-E72D297353CC}">
                <c16:uniqueId val="{0000000A-F793-4EFE-9C73-C1421372E327}"/>
              </c:ext>
            </c:extLst>
          </c:dPt>
          <c:cat>
            <c:strRef>
              <c:f>Sheet1!$B$1:$F$1</c:f>
              <c:strCache>
                <c:ptCount val="5"/>
                <c:pt idx="0">
                  <c:v>Materialkosten</c:v>
                </c:pt>
                <c:pt idx="1">
                  <c:v>Gemeinkosten</c:v>
                </c:pt>
                <c:pt idx="2">
                  <c:v>Gewinn</c:v>
                </c:pt>
                <c:pt idx="3">
                  <c:v>Umsatzbeteiligung</c:v>
                </c:pt>
                <c:pt idx="4">
                  <c:v>Mehrwertsteuer</c:v>
                </c:pt>
              </c:strCache>
            </c:strRef>
          </c:cat>
          <c:val>
            <c:numRef>
              <c:f>Sheet1!$B$3:$F$3</c:f>
              <c:numCache>
                <c:formatCode>General</c:formatCode>
                <c:ptCount val="5"/>
                <c:pt idx="0">
                  <c:v>30.6</c:v>
                </c:pt>
                <c:pt idx="1">
                  <c:v>38.6</c:v>
                </c:pt>
                <c:pt idx="2">
                  <c:v>34.6</c:v>
                </c:pt>
                <c:pt idx="3">
                  <c:v>31.6</c:v>
                </c:pt>
              </c:numCache>
            </c:numRef>
          </c:val>
          <c:extLst>
            <c:ext xmlns:c16="http://schemas.microsoft.com/office/drawing/2014/chart" uri="{C3380CC4-5D6E-409C-BE32-E72D297353CC}">
              <c16:uniqueId val="{0000000B-F793-4EFE-9C73-C1421372E327}"/>
            </c:ext>
          </c:extLst>
        </c:ser>
        <c:ser>
          <c:idx val="2"/>
          <c:order val="2"/>
          <c:tx>
            <c:strRef>
              <c:f>Sheet1!$A$4</c:f>
              <c:strCache>
                <c:ptCount val="1"/>
                <c:pt idx="0">
                  <c:v>Nord</c:v>
                </c:pt>
              </c:strCache>
            </c:strRef>
          </c:tx>
          <c:spPr>
            <a:solidFill>
              <a:srgbClr val="FFFFCC"/>
            </a:solidFill>
            <a:ln w="12719">
              <a:solidFill>
                <a:srgbClr val="000000"/>
              </a:solidFill>
              <a:prstDash val="solid"/>
            </a:ln>
          </c:spPr>
          <c:dPt>
            <c:idx val="0"/>
            <c:bubble3D val="0"/>
            <c:spPr>
              <a:solidFill>
                <a:srgbClr val="9999FF"/>
              </a:solidFill>
              <a:ln w="12719">
                <a:solidFill>
                  <a:srgbClr val="000000"/>
                </a:solidFill>
                <a:prstDash val="solid"/>
              </a:ln>
            </c:spPr>
            <c:extLst>
              <c:ext xmlns:c16="http://schemas.microsoft.com/office/drawing/2014/chart" uri="{C3380CC4-5D6E-409C-BE32-E72D297353CC}">
                <c16:uniqueId val="{0000000C-F793-4EFE-9C73-C1421372E327}"/>
              </c:ext>
            </c:extLst>
          </c:dPt>
          <c:dPt>
            <c:idx val="1"/>
            <c:bubble3D val="0"/>
            <c:spPr>
              <a:solidFill>
                <a:srgbClr val="993366"/>
              </a:solidFill>
              <a:ln w="12719">
                <a:solidFill>
                  <a:srgbClr val="000000"/>
                </a:solidFill>
                <a:prstDash val="solid"/>
              </a:ln>
            </c:spPr>
            <c:extLst>
              <c:ext xmlns:c16="http://schemas.microsoft.com/office/drawing/2014/chart" uri="{C3380CC4-5D6E-409C-BE32-E72D297353CC}">
                <c16:uniqueId val="{0000000D-F793-4EFE-9C73-C1421372E327}"/>
              </c:ext>
            </c:extLst>
          </c:dPt>
          <c:dPt>
            <c:idx val="2"/>
            <c:bubble3D val="0"/>
            <c:extLst>
              <c:ext xmlns:c16="http://schemas.microsoft.com/office/drawing/2014/chart" uri="{C3380CC4-5D6E-409C-BE32-E72D297353CC}">
                <c16:uniqueId val="{0000000E-F793-4EFE-9C73-C1421372E327}"/>
              </c:ext>
            </c:extLst>
          </c:dPt>
          <c:dPt>
            <c:idx val="3"/>
            <c:bubble3D val="0"/>
            <c:spPr>
              <a:solidFill>
                <a:srgbClr val="CCFFFF"/>
              </a:solidFill>
              <a:ln w="12719">
                <a:solidFill>
                  <a:srgbClr val="000000"/>
                </a:solidFill>
                <a:prstDash val="solid"/>
              </a:ln>
            </c:spPr>
            <c:extLst>
              <c:ext xmlns:c16="http://schemas.microsoft.com/office/drawing/2014/chart" uri="{C3380CC4-5D6E-409C-BE32-E72D297353CC}">
                <c16:uniqueId val="{0000000F-F793-4EFE-9C73-C1421372E327}"/>
              </c:ext>
            </c:extLst>
          </c:dPt>
          <c:dPt>
            <c:idx val="4"/>
            <c:bubble3D val="0"/>
            <c:spPr>
              <a:solidFill>
                <a:srgbClr val="660066"/>
              </a:solidFill>
              <a:ln w="12719">
                <a:solidFill>
                  <a:srgbClr val="000000"/>
                </a:solidFill>
                <a:prstDash val="solid"/>
              </a:ln>
            </c:spPr>
            <c:extLst>
              <c:ext xmlns:c16="http://schemas.microsoft.com/office/drawing/2014/chart" uri="{C3380CC4-5D6E-409C-BE32-E72D297353CC}">
                <c16:uniqueId val="{00000010-F793-4EFE-9C73-C1421372E327}"/>
              </c:ext>
            </c:extLst>
          </c:dPt>
          <c:cat>
            <c:strRef>
              <c:f>Sheet1!$B$1:$F$1</c:f>
              <c:strCache>
                <c:ptCount val="5"/>
                <c:pt idx="0">
                  <c:v>Materialkosten</c:v>
                </c:pt>
                <c:pt idx="1">
                  <c:v>Gemeinkosten</c:v>
                </c:pt>
                <c:pt idx="2">
                  <c:v>Gewinn</c:v>
                </c:pt>
                <c:pt idx="3">
                  <c:v>Umsatzbeteiligung</c:v>
                </c:pt>
                <c:pt idx="4">
                  <c:v>Mehrwertsteuer</c:v>
                </c:pt>
              </c:strCache>
            </c:strRef>
          </c:cat>
          <c:val>
            <c:numRef>
              <c:f>Sheet1!$B$4:$F$4</c:f>
              <c:numCache>
                <c:formatCode>General</c:formatCode>
                <c:ptCount val="5"/>
                <c:pt idx="0">
                  <c:v>45.9</c:v>
                </c:pt>
                <c:pt idx="1">
                  <c:v>46.9</c:v>
                </c:pt>
                <c:pt idx="2">
                  <c:v>45</c:v>
                </c:pt>
                <c:pt idx="3">
                  <c:v>43.9</c:v>
                </c:pt>
              </c:numCache>
            </c:numRef>
          </c:val>
          <c:extLst>
            <c:ext xmlns:c16="http://schemas.microsoft.com/office/drawing/2014/chart" uri="{C3380CC4-5D6E-409C-BE32-E72D297353CC}">
              <c16:uniqueId val="{00000011-F793-4EFE-9C73-C1421372E327}"/>
            </c:ext>
          </c:extLst>
        </c:ser>
        <c:dLbls>
          <c:showLegendKey val="0"/>
          <c:showVal val="0"/>
          <c:showCatName val="0"/>
          <c:showSerName val="0"/>
          <c:showPercent val="0"/>
          <c:showBubbleSize val="0"/>
          <c:showLeaderLines val="1"/>
        </c:dLbls>
        <c:firstSliceAng val="0"/>
      </c:pieChart>
      <c:spPr>
        <a:solidFill>
          <a:srgbClr val="C0C0C0"/>
        </a:solidFill>
        <a:ln w="12719">
          <a:solidFill>
            <a:srgbClr val="808080"/>
          </a:solidFill>
          <a:prstDash val="solid"/>
        </a:ln>
      </c:spPr>
    </c:plotArea>
    <c:legend>
      <c:legendPos val="r"/>
      <c:layout>
        <c:manualLayout>
          <c:xMode val="edge"/>
          <c:yMode val="edge"/>
          <c:x val="0.60601001669449084"/>
          <c:y val="6.7632850241545889E-2"/>
          <c:w val="0.38898163606010017"/>
          <c:h val="0.83574879227053145"/>
        </c:manualLayout>
      </c:layout>
      <c:overlay val="0"/>
      <c:spPr>
        <a:noFill/>
        <a:ln w="3180">
          <a:solidFill>
            <a:srgbClr val="000000"/>
          </a:solidFill>
          <a:prstDash val="solid"/>
        </a:ln>
      </c:spPr>
      <c:txPr>
        <a:bodyPr/>
        <a:lstStyle/>
        <a:p>
          <a:pPr>
            <a:defRPr sz="826" b="1" i="0" u="none" strike="noStrike" baseline="0">
              <a:solidFill>
                <a:srgbClr val="000000"/>
              </a:solidFill>
              <a:latin typeface="Cambria"/>
              <a:ea typeface="Cambria"/>
              <a:cs typeface="Cambria"/>
            </a:defRPr>
          </a:pPr>
          <a:endParaRPr lang="de-DE"/>
        </a:p>
      </c:txPr>
    </c:legend>
    <c:plotVisOnly val="1"/>
    <c:dispBlanksAs val="zero"/>
    <c:showDLblsOverMax val="0"/>
  </c:chart>
  <c:spPr>
    <a:noFill/>
    <a:ln>
      <a:noFill/>
    </a:ln>
  </c:spPr>
  <c:txPr>
    <a:bodyPr/>
    <a:lstStyle/>
    <a:p>
      <a:pPr>
        <a:defRPr sz="901" b="1" i="0" u="none" strike="noStrike" baseline="0">
          <a:solidFill>
            <a:srgbClr val="000000"/>
          </a:solidFill>
          <a:latin typeface="Cambria"/>
          <a:ea typeface="Cambria"/>
          <a:cs typeface="Cambria"/>
        </a:defRPr>
      </a:pPr>
      <a:endParaRPr lang="de-DE"/>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4595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Die Gemeinkostenberechnung – Vom Materialpreis zum Selbstkostenpreis</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Gemeinkostenberechnung – Vom Materialpreis zum Selbstkostenpreis</dc:title>
  <dc:subject/>
  <dc:creator>Margit</dc:creator>
  <cp:keywords/>
  <cp:lastModifiedBy>Nadine Bach</cp:lastModifiedBy>
  <cp:revision>2</cp:revision>
  <cp:lastPrinted>2011-10-08T13:21:00Z</cp:lastPrinted>
  <dcterms:created xsi:type="dcterms:W3CDTF">2024-04-17T08:03:00Z</dcterms:created>
  <dcterms:modified xsi:type="dcterms:W3CDTF">2024-04-17T08:03:00Z</dcterms:modified>
</cp:coreProperties>
</file>