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FCAD" w14:textId="3F64808F" w:rsidR="008553A3" w:rsidRDefault="008553A3" w:rsidP="00B67A2C">
      <w:pPr>
        <w:rPr>
          <w:b/>
          <w:bCs/>
          <w:sz w:val="28"/>
          <w:szCs w:val="28"/>
        </w:rPr>
      </w:pPr>
      <w:r w:rsidRPr="00737665">
        <w:rPr>
          <w:b/>
          <w:bCs/>
          <w:noProof/>
          <w:sz w:val="28"/>
          <w:szCs w:val="28"/>
          <w:lang w:eastAsia="de-DE"/>
        </w:rPr>
        <w:drawing>
          <wp:anchor distT="0" distB="0" distL="114300" distR="114300" simplePos="0" relativeHeight="251662848" behindDoc="0" locked="0" layoutInCell="1" allowOverlap="1" wp14:anchorId="5E4222AE" wp14:editId="765E6277">
            <wp:simplePos x="0" y="0"/>
            <wp:positionH relativeFrom="column">
              <wp:posOffset>3474720</wp:posOffset>
            </wp:positionH>
            <wp:positionV relativeFrom="paragraph">
              <wp:posOffset>-420370</wp:posOffset>
            </wp:positionV>
            <wp:extent cx="2358929" cy="706018"/>
            <wp:effectExtent l="0" t="0" r="381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929" cy="706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AE681" w14:textId="32AD2320" w:rsidR="00CC03C7" w:rsidRPr="00737665" w:rsidRDefault="00737665" w:rsidP="00B67A2C">
      <w:pPr>
        <w:rPr>
          <w:b/>
          <w:bCs/>
          <w:sz w:val="28"/>
          <w:szCs w:val="28"/>
        </w:rPr>
      </w:pPr>
      <w:r w:rsidRPr="00737665">
        <w:rPr>
          <w:b/>
          <w:bCs/>
          <w:sz w:val="28"/>
          <w:szCs w:val="28"/>
        </w:rPr>
        <w:t>Information</w:t>
      </w:r>
      <w:r w:rsidR="008553A3">
        <w:rPr>
          <w:b/>
          <w:bCs/>
          <w:sz w:val="28"/>
          <w:szCs w:val="28"/>
        </w:rPr>
        <w:t>en</w:t>
      </w:r>
      <w:r w:rsidRPr="00737665">
        <w:rPr>
          <w:b/>
          <w:bCs/>
          <w:sz w:val="28"/>
          <w:szCs w:val="28"/>
        </w:rPr>
        <w:t xml:space="preserve"> für Lehrkräfte zum</w:t>
      </w:r>
    </w:p>
    <w:p w14:paraId="3E03869A" w14:textId="11DFDB5E" w:rsidR="00737665" w:rsidRPr="00737665" w:rsidRDefault="00737665" w:rsidP="00737665">
      <w:pPr>
        <w:rPr>
          <w:b/>
          <w:bCs/>
          <w:sz w:val="28"/>
          <w:szCs w:val="28"/>
        </w:rPr>
      </w:pPr>
      <w:proofErr w:type="spellStart"/>
      <w:r w:rsidRPr="00737665">
        <w:rPr>
          <w:b/>
          <w:bCs/>
          <w:sz w:val="28"/>
          <w:szCs w:val="28"/>
        </w:rPr>
        <w:t>Kärtchenset</w:t>
      </w:r>
      <w:proofErr w:type="spellEnd"/>
      <w:r w:rsidRPr="00737665">
        <w:rPr>
          <w:b/>
          <w:bCs/>
          <w:sz w:val="28"/>
          <w:szCs w:val="28"/>
        </w:rPr>
        <w:t xml:space="preserve"> Künstliche Fotosynthese</w:t>
      </w:r>
    </w:p>
    <w:p w14:paraId="1F3EF9C7" w14:textId="5CA31EEB" w:rsidR="00737665" w:rsidRDefault="00737665" w:rsidP="00737665">
      <w:pPr>
        <w:pBdr>
          <w:bottom w:val="single" w:sz="4" w:space="1" w:color="auto"/>
        </w:pBdr>
        <w:rPr>
          <w:b/>
          <w:bCs/>
        </w:rPr>
      </w:pPr>
    </w:p>
    <w:p w14:paraId="170B8475" w14:textId="791459B2" w:rsidR="00737665" w:rsidRPr="00737665" w:rsidRDefault="00737665" w:rsidP="00737665">
      <w:pPr>
        <w:rPr>
          <w:b/>
          <w:bCs/>
        </w:rPr>
      </w:pPr>
    </w:p>
    <w:p w14:paraId="3E1B470E" w14:textId="48644157" w:rsidR="00737665" w:rsidRPr="00737665" w:rsidRDefault="008553A3" w:rsidP="00737665">
      <w:pPr>
        <w:rPr>
          <w:b/>
          <w:bCs/>
        </w:rPr>
      </w:pPr>
      <w:r w:rsidRPr="008553A3">
        <w:rPr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3A12DFBA" wp14:editId="7A89B213">
            <wp:simplePos x="0" y="0"/>
            <wp:positionH relativeFrom="column">
              <wp:posOffset>4624705</wp:posOffset>
            </wp:positionH>
            <wp:positionV relativeFrom="paragraph">
              <wp:posOffset>67945</wp:posOffset>
            </wp:positionV>
            <wp:extent cx="1432560" cy="1920240"/>
            <wp:effectExtent l="0" t="0" r="0" b="3810"/>
            <wp:wrapSquare wrapText="bothSides"/>
            <wp:docPr id="1157681056" name="Grafik 6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665" w:rsidRPr="00737665">
        <w:rPr>
          <w:b/>
          <w:bCs/>
        </w:rPr>
        <w:t>Unterrichtsmaterial zum BIOMAX-Heft</w:t>
      </w:r>
    </w:p>
    <w:p w14:paraId="3781B90E" w14:textId="2D1F87EE" w:rsidR="00737665" w:rsidRPr="008553A3" w:rsidRDefault="00737665" w:rsidP="00737665">
      <w:pPr>
        <w:rPr>
          <w:sz w:val="20"/>
          <w:szCs w:val="20"/>
        </w:rPr>
      </w:pPr>
      <w:r w:rsidRPr="008553A3">
        <w:rPr>
          <w:sz w:val="20"/>
          <w:szCs w:val="20"/>
        </w:rPr>
        <w:t xml:space="preserve">Das </w:t>
      </w:r>
      <w:proofErr w:type="spellStart"/>
      <w:r w:rsidRPr="008553A3">
        <w:rPr>
          <w:sz w:val="20"/>
          <w:szCs w:val="20"/>
        </w:rPr>
        <w:t>Kärtchenset</w:t>
      </w:r>
      <w:proofErr w:type="spellEnd"/>
      <w:r w:rsidRPr="008553A3">
        <w:rPr>
          <w:sz w:val="20"/>
          <w:szCs w:val="20"/>
        </w:rPr>
        <w:t xml:space="preserve"> „CETCH-</w:t>
      </w:r>
      <w:proofErr w:type="spellStart"/>
      <w:r w:rsidRPr="008553A3">
        <w:rPr>
          <w:sz w:val="20"/>
          <w:szCs w:val="20"/>
        </w:rPr>
        <w:t>it</w:t>
      </w:r>
      <w:proofErr w:type="spellEnd"/>
      <w:r w:rsidRPr="008553A3">
        <w:rPr>
          <w:sz w:val="20"/>
          <w:szCs w:val="20"/>
        </w:rPr>
        <w:t xml:space="preserve">!“ wurde passend zum BIOMAX-Heft „Grünes Tuning“ entwickelt. Schülergruppen können damit die Entwicklung eines künstlichen Stoffwechselweges nachvollziehen. Zum </w:t>
      </w:r>
      <w:proofErr w:type="spellStart"/>
      <w:r w:rsidRPr="008553A3">
        <w:rPr>
          <w:sz w:val="20"/>
          <w:szCs w:val="20"/>
        </w:rPr>
        <w:t>Kärtchenset</w:t>
      </w:r>
      <w:proofErr w:type="spellEnd"/>
      <w:r w:rsidRPr="008553A3">
        <w:rPr>
          <w:sz w:val="20"/>
          <w:szCs w:val="20"/>
        </w:rPr>
        <w:t xml:space="preserve"> stehen ein Vorschlag für eine Unterrichtseinheit inklusive Aufgaben für Schülerinnen und Schüler sowie ein separates Arbeitsblatt zur Verfügung</w:t>
      </w:r>
      <w:r w:rsidR="008553A3">
        <w:rPr>
          <w:sz w:val="20"/>
          <w:szCs w:val="20"/>
        </w:rPr>
        <w:t xml:space="preserve"> (s. Links unten)</w:t>
      </w:r>
      <w:r w:rsidRPr="008553A3">
        <w:rPr>
          <w:sz w:val="20"/>
          <w:szCs w:val="20"/>
        </w:rPr>
        <w:t>.</w:t>
      </w:r>
    </w:p>
    <w:p w14:paraId="06A5272E" w14:textId="77777777" w:rsidR="00737665" w:rsidRPr="008553A3" w:rsidRDefault="00737665" w:rsidP="00737665">
      <w:pPr>
        <w:rPr>
          <w:sz w:val="20"/>
          <w:szCs w:val="20"/>
        </w:rPr>
      </w:pPr>
    </w:p>
    <w:p w14:paraId="08DCC211" w14:textId="77777777" w:rsidR="00737665" w:rsidRPr="00737665" w:rsidRDefault="00737665" w:rsidP="00737665">
      <w:pPr>
        <w:rPr>
          <w:b/>
          <w:bCs/>
        </w:rPr>
      </w:pPr>
      <w:r w:rsidRPr="00737665">
        <w:rPr>
          <w:b/>
          <w:bCs/>
        </w:rPr>
        <w:t xml:space="preserve">Catch </w:t>
      </w:r>
      <w:proofErr w:type="spellStart"/>
      <w:r w:rsidRPr="00737665">
        <w:rPr>
          <w:b/>
          <w:bCs/>
        </w:rPr>
        <w:t>the</w:t>
      </w:r>
      <w:proofErr w:type="spellEnd"/>
      <w:r w:rsidRPr="00737665">
        <w:rPr>
          <w:b/>
          <w:bCs/>
        </w:rPr>
        <w:t xml:space="preserve"> Carbon – Vom Treibhausgas zur Ressource</w:t>
      </w:r>
    </w:p>
    <w:p w14:paraId="180DBC0D" w14:textId="77777777" w:rsidR="00737665" w:rsidRPr="008553A3" w:rsidRDefault="00737665" w:rsidP="00737665">
      <w:pPr>
        <w:rPr>
          <w:sz w:val="20"/>
          <w:szCs w:val="20"/>
        </w:rPr>
      </w:pPr>
      <w:r w:rsidRPr="008553A3">
        <w:rPr>
          <w:sz w:val="20"/>
          <w:szCs w:val="20"/>
        </w:rPr>
        <w:t xml:space="preserve">Das </w:t>
      </w:r>
      <w:proofErr w:type="spellStart"/>
      <w:r w:rsidRPr="008553A3">
        <w:rPr>
          <w:sz w:val="20"/>
          <w:szCs w:val="20"/>
        </w:rPr>
        <w:t>Kärtchenset</w:t>
      </w:r>
      <w:proofErr w:type="spellEnd"/>
      <w:r w:rsidRPr="008553A3">
        <w:rPr>
          <w:sz w:val="20"/>
          <w:szCs w:val="20"/>
        </w:rPr>
        <w:t xml:space="preserve"> greift mit der Fotosynthese ein Thema der Sekundarstufe II auf. Die CO</w:t>
      </w:r>
      <w:r w:rsidRPr="008553A3">
        <w:rPr>
          <w:sz w:val="20"/>
          <w:szCs w:val="20"/>
          <w:vertAlign w:val="subscript"/>
        </w:rPr>
        <w:t>2</w:t>
      </w:r>
      <w:r w:rsidRPr="008553A3">
        <w:rPr>
          <w:sz w:val="20"/>
          <w:szCs w:val="20"/>
        </w:rPr>
        <w:t>-Fixierung im Calvin-Zyklus ist ein zentraler Schritt, der zum Ausgangspunkt künstlicher Stoffwechselwege wird. An den Grenzen der natürliche Fotosynthese setzen Forschende an, um effizientere Möglichkeiten zu entwickeln, CO</w:t>
      </w:r>
      <w:r w:rsidRPr="008553A3">
        <w:rPr>
          <w:sz w:val="20"/>
          <w:szCs w:val="20"/>
          <w:vertAlign w:val="subscript"/>
        </w:rPr>
        <w:t>2</w:t>
      </w:r>
      <w:r w:rsidRPr="008553A3">
        <w:rPr>
          <w:sz w:val="20"/>
          <w:szCs w:val="20"/>
        </w:rPr>
        <w:t xml:space="preserve"> in organische Moleküle umzuwandeln.</w:t>
      </w:r>
    </w:p>
    <w:p w14:paraId="61F40933" w14:textId="77777777" w:rsidR="00737665" w:rsidRPr="008553A3" w:rsidRDefault="00737665" w:rsidP="00737665">
      <w:pPr>
        <w:rPr>
          <w:sz w:val="20"/>
          <w:szCs w:val="20"/>
        </w:rPr>
      </w:pPr>
    </w:p>
    <w:p w14:paraId="6A11D87E" w14:textId="77777777" w:rsidR="00737665" w:rsidRPr="00737665" w:rsidRDefault="00737665" w:rsidP="00737665">
      <w:pPr>
        <w:rPr>
          <w:b/>
          <w:bCs/>
        </w:rPr>
      </w:pPr>
      <w:r w:rsidRPr="00737665">
        <w:rPr>
          <w:b/>
          <w:bCs/>
        </w:rPr>
        <w:t>Einsatz in der ganzen Klasse</w:t>
      </w:r>
    </w:p>
    <w:p w14:paraId="49AB5A5A" w14:textId="77777777" w:rsidR="00737665" w:rsidRPr="008553A3" w:rsidRDefault="00737665" w:rsidP="00737665">
      <w:pPr>
        <w:rPr>
          <w:sz w:val="20"/>
          <w:szCs w:val="20"/>
        </w:rPr>
      </w:pPr>
      <w:r w:rsidRPr="008553A3">
        <w:rPr>
          <w:sz w:val="20"/>
          <w:szCs w:val="20"/>
        </w:rPr>
        <w:t xml:space="preserve">Ein </w:t>
      </w:r>
      <w:proofErr w:type="spellStart"/>
      <w:r w:rsidRPr="008553A3">
        <w:rPr>
          <w:sz w:val="20"/>
          <w:szCs w:val="20"/>
        </w:rPr>
        <w:t>Kärtchenset</w:t>
      </w:r>
      <w:proofErr w:type="spellEnd"/>
      <w:r w:rsidRPr="008553A3">
        <w:rPr>
          <w:sz w:val="20"/>
          <w:szCs w:val="20"/>
        </w:rPr>
        <w:t xml:space="preserve"> besteht aus 5 gleichen Sätzen von Molekülkarten, die durch die farbigen Rückseiten unterscheidbar sind. So können mehrere Schülergruppen parallel arbeiten. Jede Gruppe erhält zu den Molekülkarten noch 12 erklärende Infokarten.</w:t>
      </w:r>
    </w:p>
    <w:p w14:paraId="4DB5FCD8" w14:textId="77777777" w:rsidR="00737665" w:rsidRPr="008553A3" w:rsidRDefault="00737665" w:rsidP="00737665">
      <w:pPr>
        <w:rPr>
          <w:sz w:val="20"/>
          <w:szCs w:val="20"/>
        </w:rPr>
      </w:pPr>
    </w:p>
    <w:p w14:paraId="59B1D59D" w14:textId="77777777" w:rsidR="00737665" w:rsidRPr="00737665" w:rsidRDefault="00737665" w:rsidP="00737665">
      <w:pPr>
        <w:rPr>
          <w:b/>
          <w:bCs/>
        </w:rPr>
      </w:pPr>
      <w:r w:rsidRPr="00737665">
        <w:rPr>
          <w:b/>
          <w:bCs/>
        </w:rPr>
        <w:t>Differenzierung durch Kärtchen-Varianten</w:t>
      </w:r>
    </w:p>
    <w:p w14:paraId="4C12C6FA" w14:textId="5AD641E9" w:rsidR="00737665" w:rsidRPr="008553A3" w:rsidRDefault="00737665" w:rsidP="00737665">
      <w:pPr>
        <w:rPr>
          <w:sz w:val="20"/>
          <w:szCs w:val="20"/>
        </w:rPr>
      </w:pPr>
      <w:r w:rsidRPr="008553A3">
        <w:rPr>
          <w:sz w:val="20"/>
          <w:szCs w:val="20"/>
        </w:rPr>
        <w:t>Die Molekülkarten sind entweder mit Skelett-Strukturformeln (21 Kärtchen) oder einer vereinfachten Kugel-Darstellung der Moleküle (21 Kärtchen + Legende) erhältlich. Zusätzlich ist es möglich, den Farbcode durch Abschneiden der Ecken zu entfernen.</w:t>
      </w:r>
    </w:p>
    <w:p w14:paraId="122F1F11" w14:textId="77777777" w:rsidR="00737665" w:rsidRPr="00737665" w:rsidRDefault="00737665" w:rsidP="00737665"/>
    <w:p w14:paraId="0768555E" w14:textId="60268675" w:rsidR="00737665" w:rsidRPr="00737665" w:rsidRDefault="00737665" w:rsidP="00737665">
      <w:r w:rsidRPr="00737665">
        <w:drawing>
          <wp:inline distT="0" distB="0" distL="0" distR="0" wp14:anchorId="6DDA4DEA" wp14:editId="51B17DA4">
            <wp:extent cx="1898855" cy="1569720"/>
            <wp:effectExtent l="0" t="0" r="6350" b="0"/>
            <wp:docPr id="197708444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85" cy="157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665">
        <w:t> </w:t>
      </w:r>
      <w:r w:rsidRPr="00737665">
        <w:drawing>
          <wp:inline distT="0" distB="0" distL="0" distR="0" wp14:anchorId="6AEC0E41" wp14:editId="14BA2F52">
            <wp:extent cx="1898855" cy="1569720"/>
            <wp:effectExtent l="0" t="0" r="6350" b="0"/>
            <wp:docPr id="199164469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58" cy="157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5AD70" w14:textId="681B52EA" w:rsidR="00737665" w:rsidRPr="008553A3" w:rsidRDefault="00737665" w:rsidP="00737665">
      <w:pPr>
        <w:rPr>
          <w:sz w:val="20"/>
          <w:szCs w:val="20"/>
        </w:rPr>
      </w:pPr>
    </w:p>
    <w:p w14:paraId="2F5ED970" w14:textId="6664A835" w:rsidR="00737665" w:rsidRPr="00737665" w:rsidRDefault="00737665" w:rsidP="00737665">
      <w:pPr>
        <w:rPr>
          <w:sz w:val="20"/>
          <w:szCs w:val="20"/>
        </w:rPr>
      </w:pPr>
      <w:r w:rsidRPr="00737665">
        <w:rPr>
          <w:b/>
          <w:bCs/>
          <w:sz w:val="20"/>
          <w:szCs w:val="20"/>
        </w:rPr>
        <w:t xml:space="preserve">Lehrkräfte können das </w:t>
      </w:r>
      <w:proofErr w:type="spellStart"/>
      <w:r w:rsidRPr="00737665">
        <w:rPr>
          <w:b/>
          <w:bCs/>
          <w:sz w:val="20"/>
          <w:szCs w:val="20"/>
        </w:rPr>
        <w:t>Kärtchenset</w:t>
      </w:r>
      <w:proofErr w:type="spellEnd"/>
      <w:r w:rsidRPr="00737665">
        <w:rPr>
          <w:b/>
          <w:bCs/>
          <w:sz w:val="20"/>
          <w:szCs w:val="20"/>
        </w:rPr>
        <w:t xml:space="preserve"> </w:t>
      </w:r>
      <w:r w:rsidRPr="008553A3">
        <w:rPr>
          <w:b/>
          <w:bCs/>
          <w:sz w:val="20"/>
          <w:szCs w:val="20"/>
        </w:rPr>
        <w:t xml:space="preserve">auch </w:t>
      </w:r>
      <w:r w:rsidRPr="00737665">
        <w:rPr>
          <w:b/>
          <w:bCs/>
          <w:sz w:val="20"/>
          <w:szCs w:val="20"/>
        </w:rPr>
        <w:t xml:space="preserve">in </w:t>
      </w:r>
      <w:r w:rsidRPr="00737665">
        <w:rPr>
          <w:b/>
          <w:bCs/>
          <w:sz w:val="20"/>
          <w:szCs w:val="20"/>
          <w:u w:val="single"/>
        </w:rPr>
        <w:t>gedruckter Form kostenfrei</w:t>
      </w:r>
      <w:r w:rsidRPr="00737665">
        <w:rPr>
          <w:b/>
          <w:bCs/>
          <w:sz w:val="20"/>
          <w:szCs w:val="20"/>
        </w:rPr>
        <w:t xml:space="preserve"> bestellen</w:t>
      </w:r>
      <w:r w:rsidR="008553A3" w:rsidRPr="008553A3">
        <w:rPr>
          <w:b/>
          <w:bCs/>
          <w:sz w:val="20"/>
          <w:szCs w:val="20"/>
        </w:rPr>
        <w:t>:</w:t>
      </w:r>
      <w:r w:rsidR="008553A3" w:rsidRPr="008553A3">
        <w:rPr>
          <w:b/>
          <w:bCs/>
          <w:sz w:val="20"/>
          <w:szCs w:val="20"/>
        </w:rPr>
        <w:br/>
      </w:r>
      <w:r w:rsidR="008553A3" w:rsidRPr="008553A3">
        <w:rPr>
          <w:b/>
          <w:bCs/>
          <w:color w:val="00B0F0"/>
          <w:sz w:val="20"/>
          <w:szCs w:val="20"/>
        </w:rPr>
        <w:t>www.max-wissen.de/produkt/kaertchenset-cetch-it/</w:t>
      </w:r>
      <w:r w:rsidR="008553A3" w:rsidRPr="008553A3">
        <w:rPr>
          <w:color w:val="00B0F0"/>
          <w:sz w:val="20"/>
          <w:szCs w:val="20"/>
        </w:rPr>
        <w:t xml:space="preserve"> </w:t>
      </w:r>
      <w:r w:rsidRPr="00737665">
        <w:rPr>
          <w:sz w:val="20"/>
          <w:szCs w:val="20"/>
        </w:rPr>
        <w:t>. Vor dem ersten Einsatz müssen die Kärtchen entlang der perforierten Linien voneinander getrennt werden.</w:t>
      </w:r>
    </w:p>
    <w:p w14:paraId="261689A1" w14:textId="77777777" w:rsidR="008553A3" w:rsidRPr="008553A3" w:rsidRDefault="00737665" w:rsidP="00737665">
      <w:pPr>
        <w:rPr>
          <w:sz w:val="20"/>
          <w:szCs w:val="20"/>
        </w:rPr>
      </w:pPr>
      <w:r w:rsidRPr="00737665">
        <w:rPr>
          <w:sz w:val="20"/>
          <w:szCs w:val="20"/>
        </w:rPr>
        <w:t>Alternativ ist ein</w:t>
      </w:r>
      <w:r w:rsidR="008553A3" w:rsidRPr="008553A3">
        <w:rPr>
          <w:sz w:val="20"/>
          <w:szCs w:val="20"/>
        </w:rPr>
        <w:t xml:space="preserve"> </w:t>
      </w:r>
      <w:r w:rsidRPr="00737665">
        <w:rPr>
          <w:b/>
          <w:bCs/>
          <w:sz w:val="20"/>
          <w:szCs w:val="20"/>
        </w:rPr>
        <w:t>Selbstausdruc</w:t>
      </w:r>
      <w:r w:rsidR="008553A3" w:rsidRPr="008553A3">
        <w:rPr>
          <w:b/>
          <w:bCs/>
          <w:sz w:val="20"/>
          <w:szCs w:val="20"/>
        </w:rPr>
        <w:t xml:space="preserve">k </w:t>
      </w:r>
      <w:r w:rsidRPr="00737665">
        <w:rPr>
          <w:sz w:val="20"/>
          <w:szCs w:val="20"/>
        </w:rPr>
        <w:t>anhand der PDF-Dateien möglich.</w:t>
      </w:r>
    </w:p>
    <w:p w14:paraId="45D6C8C0" w14:textId="75630D1A" w:rsidR="00737665" w:rsidRPr="008553A3" w:rsidRDefault="00737665" w:rsidP="00737665">
      <w:pPr>
        <w:rPr>
          <w:sz w:val="20"/>
          <w:szCs w:val="20"/>
        </w:rPr>
      </w:pPr>
      <w:r w:rsidRPr="00737665">
        <w:rPr>
          <w:sz w:val="20"/>
          <w:szCs w:val="20"/>
        </w:rPr>
        <w:br/>
      </w:r>
      <w:r w:rsidRPr="008553A3">
        <w:rPr>
          <w:sz w:val="20"/>
          <w:szCs w:val="20"/>
        </w:rPr>
        <w:t>&gt; Infokarten</w:t>
      </w:r>
      <w:r w:rsidRPr="008553A3">
        <w:rPr>
          <w:sz w:val="20"/>
          <w:szCs w:val="20"/>
        </w:rPr>
        <w:t xml:space="preserve"> </w:t>
      </w:r>
      <w:r w:rsidR="008553A3" w:rsidRPr="008553A3">
        <w:rPr>
          <w:sz w:val="20"/>
          <w:szCs w:val="20"/>
        </w:rPr>
        <w:t xml:space="preserve">&gt; </w:t>
      </w:r>
      <w:hyperlink r:id="rId12" w:history="1">
        <w:r w:rsidR="008553A3" w:rsidRPr="00D862BB">
          <w:rPr>
            <w:rStyle w:val="Hyperlink"/>
            <w:sz w:val="20"/>
            <w:szCs w:val="20"/>
          </w:rPr>
          <w:t>https://mundo.schule/details/SODIX-0001155121</w:t>
        </w:r>
      </w:hyperlink>
      <w:r w:rsidR="008553A3">
        <w:rPr>
          <w:sz w:val="20"/>
          <w:szCs w:val="20"/>
        </w:rPr>
        <w:t xml:space="preserve"> </w:t>
      </w:r>
    </w:p>
    <w:p w14:paraId="5BE05201" w14:textId="15E93561" w:rsidR="00737665" w:rsidRPr="008553A3" w:rsidRDefault="00737665" w:rsidP="00737665">
      <w:pPr>
        <w:rPr>
          <w:sz w:val="20"/>
          <w:szCs w:val="20"/>
        </w:rPr>
      </w:pPr>
      <w:r w:rsidRPr="008553A3">
        <w:rPr>
          <w:sz w:val="20"/>
          <w:szCs w:val="20"/>
        </w:rPr>
        <w:t xml:space="preserve">&gt; </w:t>
      </w:r>
      <w:proofErr w:type="spellStart"/>
      <w:r w:rsidRPr="008553A3">
        <w:rPr>
          <w:sz w:val="20"/>
          <w:szCs w:val="20"/>
        </w:rPr>
        <w:t>Kärtchenset</w:t>
      </w:r>
      <w:proofErr w:type="spellEnd"/>
      <w:r w:rsidRPr="008553A3">
        <w:rPr>
          <w:sz w:val="20"/>
          <w:szCs w:val="20"/>
        </w:rPr>
        <w:t xml:space="preserve"> „Strukturformeln“</w:t>
      </w:r>
      <w:r w:rsidR="008553A3" w:rsidRPr="008553A3">
        <w:rPr>
          <w:sz w:val="20"/>
          <w:szCs w:val="20"/>
        </w:rPr>
        <w:t xml:space="preserve"> &gt; </w:t>
      </w:r>
      <w:hyperlink r:id="rId13" w:history="1">
        <w:r w:rsidR="008553A3" w:rsidRPr="00D862BB">
          <w:rPr>
            <w:rStyle w:val="Hyperlink"/>
            <w:sz w:val="20"/>
            <w:szCs w:val="20"/>
          </w:rPr>
          <w:t>https://mundo.schule/details/SODIX-0001155119</w:t>
        </w:r>
      </w:hyperlink>
      <w:r w:rsidR="008553A3">
        <w:rPr>
          <w:sz w:val="20"/>
          <w:szCs w:val="20"/>
        </w:rPr>
        <w:t xml:space="preserve"> </w:t>
      </w:r>
    </w:p>
    <w:p w14:paraId="64C86A56" w14:textId="5A4B4CB1" w:rsidR="00737665" w:rsidRPr="008553A3" w:rsidRDefault="00737665" w:rsidP="008553A3">
      <w:pPr>
        <w:rPr>
          <w:sz w:val="20"/>
          <w:szCs w:val="20"/>
        </w:rPr>
      </w:pPr>
      <w:r w:rsidRPr="008553A3">
        <w:rPr>
          <w:sz w:val="20"/>
          <w:szCs w:val="20"/>
        </w:rPr>
        <w:t xml:space="preserve">&gt; </w:t>
      </w:r>
      <w:proofErr w:type="spellStart"/>
      <w:r w:rsidRPr="008553A3">
        <w:rPr>
          <w:sz w:val="20"/>
          <w:szCs w:val="20"/>
        </w:rPr>
        <w:t>Kärtchenset</w:t>
      </w:r>
      <w:proofErr w:type="spellEnd"/>
      <w:r w:rsidRPr="008553A3">
        <w:rPr>
          <w:sz w:val="20"/>
          <w:szCs w:val="20"/>
        </w:rPr>
        <w:t xml:space="preserve"> „Kugel-Darstellung“</w:t>
      </w:r>
      <w:r w:rsidR="008553A3" w:rsidRPr="008553A3">
        <w:rPr>
          <w:sz w:val="20"/>
          <w:szCs w:val="20"/>
        </w:rPr>
        <w:t xml:space="preserve"> &gt; </w:t>
      </w:r>
      <w:hyperlink r:id="rId14" w:history="1">
        <w:r w:rsidR="008553A3" w:rsidRPr="00D862BB">
          <w:rPr>
            <w:rStyle w:val="Hyperlink"/>
            <w:sz w:val="20"/>
            <w:szCs w:val="20"/>
          </w:rPr>
          <w:t>https://mundo.schule/details/SODIX-0001155120</w:t>
        </w:r>
      </w:hyperlink>
      <w:r w:rsidR="008553A3">
        <w:rPr>
          <w:sz w:val="20"/>
          <w:szCs w:val="20"/>
        </w:rPr>
        <w:t xml:space="preserve"> </w:t>
      </w:r>
    </w:p>
    <w:p w14:paraId="632F6DA4" w14:textId="3E7BD0D2" w:rsidR="00737665" w:rsidRDefault="008553A3" w:rsidP="008553A3">
      <w:pPr>
        <w:rPr>
          <w:sz w:val="20"/>
          <w:szCs w:val="20"/>
        </w:rPr>
      </w:pPr>
      <w:r w:rsidRPr="008553A3">
        <w:rPr>
          <w:sz w:val="20"/>
          <w:szCs w:val="20"/>
        </w:rPr>
        <w:t xml:space="preserve">&gt; BIOMAX-Heft Nr. 37: Künstliche Fotosynthese &gt; </w:t>
      </w:r>
      <w:hyperlink r:id="rId15" w:history="1">
        <w:r w:rsidRPr="00D862BB">
          <w:rPr>
            <w:rStyle w:val="Hyperlink"/>
            <w:sz w:val="20"/>
            <w:szCs w:val="20"/>
          </w:rPr>
          <w:t>https://mundo.schule/details/SODIX-0001155116</w:t>
        </w:r>
      </w:hyperlink>
    </w:p>
    <w:p w14:paraId="47B6CC28" w14:textId="77777777" w:rsidR="008553A3" w:rsidRDefault="008553A3" w:rsidP="00B67A2C">
      <w:pPr>
        <w:rPr>
          <w:i/>
          <w:iCs/>
          <w:color w:val="A6A6A6" w:themeColor="background1" w:themeShade="A6"/>
          <w:sz w:val="16"/>
          <w:szCs w:val="16"/>
          <w:lang w:val="en-US"/>
        </w:rPr>
      </w:pPr>
    </w:p>
    <w:p w14:paraId="34253946" w14:textId="2B6B1FFC" w:rsidR="00737665" w:rsidRPr="008553A3" w:rsidRDefault="00737665" w:rsidP="00B67A2C">
      <w:pPr>
        <w:rPr>
          <w:color w:val="A6A6A6" w:themeColor="background1" w:themeShade="A6"/>
          <w:sz w:val="16"/>
          <w:szCs w:val="16"/>
          <w:lang w:val="en-US"/>
        </w:rPr>
      </w:pPr>
      <w:proofErr w:type="spellStart"/>
      <w:r w:rsidRPr="00737665">
        <w:rPr>
          <w:i/>
          <w:iCs/>
          <w:color w:val="A6A6A6" w:themeColor="background1" w:themeShade="A6"/>
          <w:sz w:val="16"/>
          <w:szCs w:val="16"/>
          <w:lang w:val="en-US"/>
        </w:rPr>
        <w:t>Kärtchenset</w:t>
      </w:r>
      <w:proofErr w:type="spellEnd"/>
      <w:r w:rsidRPr="00737665">
        <w:rPr>
          <w:i/>
          <w:iCs/>
          <w:color w:val="A6A6A6" w:themeColor="background1" w:themeShade="A6"/>
          <w:sz w:val="16"/>
          <w:szCs w:val="16"/>
          <w:lang w:val="en-US"/>
        </w:rPr>
        <w:t xml:space="preserve"> © MPG // CC BY-NC-ND 4.0</w:t>
      </w:r>
    </w:p>
    <w:sectPr w:rsidR="00737665" w:rsidRPr="008553A3" w:rsidSect="008553A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E6B8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C272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DA4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284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704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42A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7AD4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5E9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B2B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681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00F9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68A32F0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7851E2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7940744">
    <w:abstractNumId w:val="12"/>
  </w:num>
  <w:num w:numId="2" w16cid:durableId="850413585">
    <w:abstractNumId w:val="10"/>
  </w:num>
  <w:num w:numId="3" w16cid:durableId="1899196090">
    <w:abstractNumId w:val="11"/>
  </w:num>
  <w:num w:numId="4" w16cid:durableId="2053921532">
    <w:abstractNumId w:val="9"/>
  </w:num>
  <w:num w:numId="5" w16cid:durableId="1016077988">
    <w:abstractNumId w:val="7"/>
  </w:num>
  <w:num w:numId="6" w16cid:durableId="876117021">
    <w:abstractNumId w:val="6"/>
  </w:num>
  <w:num w:numId="7" w16cid:durableId="1710103663">
    <w:abstractNumId w:val="5"/>
  </w:num>
  <w:num w:numId="8" w16cid:durableId="1376084031">
    <w:abstractNumId w:val="4"/>
  </w:num>
  <w:num w:numId="9" w16cid:durableId="1058897037">
    <w:abstractNumId w:val="8"/>
  </w:num>
  <w:num w:numId="10" w16cid:durableId="931742692">
    <w:abstractNumId w:val="3"/>
  </w:num>
  <w:num w:numId="11" w16cid:durableId="1601258770">
    <w:abstractNumId w:val="2"/>
  </w:num>
  <w:num w:numId="12" w16cid:durableId="1740863586">
    <w:abstractNumId w:val="1"/>
  </w:num>
  <w:num w:numId="13" w16cid:durableId="29899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7665"/>
    <w:rsid w:val="000675EB"/>
    <w:rsid w:val="000C4A7D"/>
    <w:rsid w:val="002610E5"/>
    <w:rsid w:val="003A1A90"/>
    <w:rsid w:val="00454966"/>
    <w:rsid w:val="00576AD1"/>
    <w:rsid w:val="006352D9"/>
    <w:rsid w:val="006A4AED"/>
    <w:rsid w:val="0071407F"/>
    <w:rsid w:val="00734966"/>
    <w:rsid w:val="00737665"/>
    <w:rsid w:val="00740948"/>
    <w:rsid w:val="007B7653"/>
    <w:rsid w:val="007D2FBD"/>
    <w:rsid w:val="00806B17"/>
    <w:rsid w:val="008553A3"/>
    <w:rsid w:val="00925096"/>
    <w:rsid w:val="009554CA"/>
    <w:rsid w:val="009B16FC"/>
    <w:rsid w:val="009B6416"/>
    <w:rsid w:val="00B67A2C"/>
    <w:rsid w:val="00C61672"/>
    <w:rsid w:val="00CA642A"/>
    <w:rsid w:val="00CC03C7"/>
    <w:rsid w:val="00D12A4E"/>
    <w:rsid w:val="00D22E34"/>
    <w:rsid w:val="00D6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23ED"/>
  <w15:chartTrackingRefBased/>
  <w15:docId w15:val="{A7209BE0-0203-459A-8A7F-1CBAD70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6B17"/>
    <w:pPr>
      <w:spacing w:after="0" w:line="30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3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76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76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76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76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76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76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76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14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140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7140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7140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71407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71407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7140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71407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71407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dressfeld">
    <w:name w:val="Adressfeld"/>
    <w:basedOn w:val="Standard"/>
    <w:autoRedefine/>
    <w:qFormat/>
    <w:rsid w:val="00806B17"/>
    <w:pPr>
      <w:spacing w:before="120" w:line="260" w:lineRule="atLeast"/>
      <w:contextualSpacing/>
    </w:pPr>
    <w:rPr>
      <w:color w:val="000000"/>
      <w:sz w:val="21"/>
      <w14:textFill>
        <w14:solidFill>
          <w14:srgbClr w14:val="000000">
            <w14:alpha w14:val="5000"/>
          </w14:srgbClr>
        </w14:solidFill>
      </w14:textFill>
    </w:rPr>
  </w:style>
  <w:style w:type="paragraph" w:customStyle="1" w:styleId="Flietext">
    <w:name w:val="Fließtext"/>
    <w:basedOn w:val="Standard"/>
    <w:qFormat/>
    <w:rsid w:val="006A4AED"/>
    <w:pPr>
      <w:spacing w:line="340" w:lineRule="atLeast"/>
    </w:pPr>
    <w:rPr>
      <w:color w:val="000000"/>
      <w14:textFill>
        <w14:solidFill>
          <w14:srgbClr w14:val="000000">
            <w14:alpha w14:val="25000"/>
          </w14:srgbClr>
        </w14:solidFill>
      </w14:textFill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376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76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766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766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766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76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76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76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76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76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76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7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76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76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766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76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766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766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3766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x-wissen.de/max-hefte/kuenstliche-fotosynthese/" TargetMode="External"/><Relationship Id="rId13" Type="http://schemas.openxmlformats.org/officeDocument/2006/relationships/hyperlink" Target="https://mundo.schule/details/SODIX-0001155119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hyperlink" Target="https://mundo.schule/details/SODIX-00011551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mundo.schule/details/SODIX-0001155116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mundo.schule/details/SODIX-000115512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62E2-8936-434A-A64F-81DE8237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Max Planck Gesellschaft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Fendt</dc:creator>
  <cp:keywords/>
  <dc:description/>
  <cp:lastModifiedBy>Tanja Fendt</cp:lastModifiedBy>
  <cp:revision>1</cp:revision>
  <dcterms:created xsi:type="dcterms:W3CDTF">2026-04-17T08:33:00Z</dcterms:created>
  <dcterms:modified xsi:type="dcterms:W3CDTF">2026-04-17T08:52:00Z</dcterms:modified>
</cp:coreProperties>
</file>