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DFBC" w14:textId="77777777" w:rsidR="00615C9F" w:rsidRPr="00615C9F" w:rsidRDefault="00615C9F" w:rsidP="00615C9F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15C9F">
        <w:rPr>
          <w:rFonts w:ascii="Arial" w:hAnsi="Arial" w:cs="Arial"/>
          <w:color w:val="auto"/>
          <w:sz w:val="24"/>
          <w:szCs w:val="24"/>
        </w:rPr>
        <w:t xml:space="preserve">Länderübergreifende Arbeitsgruppe „Umsetzung Rahmenlehrpläne“ </w:t>
      </w:r>
    </w:p>
    <w:p w14:paraId="21D4D1EA" w14:textId="77777777" w:rsidR="00615C9F" w:rsidRPr="00615C9F" w:rsidRDefault="00615C9F" w:rsidP="00615C9F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615C9F">
        <w:rPr>
          <w:rFonts w:ascii="Arial" w:hAnsi="Arial" w:cs="Arial"/>
          <w:b/>
          <w:color w:val="auto"/>
          <w:sz w:val="24"/>
          <w:szCs w:val="24"/>
        </w:rPr>
        <w:t>Länderübergreifende Empfehlung zur Darstellung von Lernsituationen im Ausbildungsberuf:</w:t>
      </w:r>
    </w:p>
    <w:p w14:paraId="7C85D4B2" w14:textId="77777777" w:rsidR="00615C9F" w:rsidRPr="00615C9F" w:rsidRDefault="00615C9F" w:rsidP="00615C9F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615C9F">
        <w:rPr>
          <w:rFonts w:ascii="Arial" w:hAnsi="Arial" w:cs="Arial"/>
          <w:b/>
          <w:color w:val="auto"/>
          <w:sz w:val="24"/>
          <w:szCs w:val="24"/>
        </w:rPr>
        <w:t>„Verfahrensmechaniker Glastechnik und Verfahrensmechanikerin Glastechnik“</w:t>
      </w:r>
    </w:p>
    <w:p w14:paraId="22CFCE34" w14:textId="77777777" w:rsidR="00F223DD" w:rsidRPr="00615C9F" w:rsidRDefault="00F223D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2EF38F6A" w:rsidR="00627E66" w:rsidRPr="00615C9F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15C9F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685BD1" w:rsidRPr="00615C9F">
        <w:rPr>
          <w:rFonts w:ascii="Arial" w:hAnsi="Arial" w:cs="Arial"/>
          <w:color w:val="auto"/>
          <w:sz w:val="24"/>
          <w:szCs w:val="24"/>
        </w:rPr>
        <w:t xml:space="preserve"> 3</w:t>
      </w:r>
    </w:p>
    <w:p w14:paraId="50D19EDD" w14:textId="7C2FE19F" w:rsidR="00685BD1" w:rsidRPr="00615C9F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15C9F">
        <w:rPr>
          <w:rFonts w:ascii="Arial" w:hAnsi="Arial" w:cs="Arial"/>
          <w:color w:val="auto"/>
          <w:sz w:val="24"/>
          <w:szCs w:val="24"/>
        </w:rPr>
        <w:t>Glaserzeugung überwachen</w:t>
      </w:r>
      <w:r w:rsidR="00873983" w:rsidRPr="00615C9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F11679B" w14:textId="77777777" w:rsidR="00685BD1" w:rsidRPr="00615C9F" w:rsidRDefault="00685BD1" w:rsidP="00873983">
      <w:pPr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615C9F" w:rsidRPr="00615C9F" w14:paraId="6021076E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615C9F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615C9F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615C9F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615C9F" w:rsidRPr="00615C9F" w14:paraId="45229E21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4A116DB" w:rsidR="00627E66" w:rsidRPr="00615C9F" w:rsidRDefault="00F40E3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615C9F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9741DB" w:rsidR="00627E66" w:rsidRPr="00615C9F" w:rsidRDefault="0029644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Neuanschaffung einer Gemengeeinlegemaschine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4742261" w:rsidR="00627E66" w:rsidRPr="00615C9F" w:rsidRDefault="0097700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460288" w:rsidRPr="00615C9F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</w:tr>
      <w:tr w:rsidR="00615C9F" w:rsidRPr="00615C9F" w14:paraId="2D018220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17B8935" w:rsidR="00627E66" w:rsidRPr="00615C9F" w:rsidRDefault="005E648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615C9F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D5B7CFA" w:rsidR="00627E66" w:rsidRPr="00615C9F" w:rsidRDefault="00EC35D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Änderung der Anforderungen der Glasart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2395A5A" w:rsidR="00627E66" w:rsidRPr="00615C9F" w:rsidRDefault="00EC35D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615C9F" w:rsidRPr="00615C9F" w14:paraId="314D001A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93D" w14:textId="1C7DD964" w:rsidR="009E15E3" w:rsidRPr="00615C9F" w:rsidRDefault="009E15E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B6D" w14:textId="10C4E312" w:rsidR="009E15E3" w:rsidRPr="00615C9F" w:rsidRDefault="00171B9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Anhand der Tonnage die Rohstoffmenge ermitteln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E97" w14:textId="6567C2CE" w:rsidR="009E15E3" w:rsidRPr="00615C9F" w:rsidRDefault="00C9370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615C9F" w:rsidRPr="00615C9F" w14:paraId="6D04E533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7D123AF" w:rsidR="00627E66" w:rsidRPr="00615C9F" w:rsidRDefault="00763AD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AF615F9" w:rsidR="00627E66" w:rsidRPr="00615C9F" w:rsidRDefault="008739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Strömungen in einer Schmelze grafisch darstellen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827BF73" w:rsidR="00627E66" w:rsidRPr="00615C9F" w:rsidRDefault="00EC35D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615C9F" w:rsidRPr="00615C9F" w14:paraId="42EFD2B4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8D4" w14:textId="77777777" w:rsidR="00C9370E" w:rsidRPr="00615C9F" w:rsidRDefault="00C9370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4912" w14:textId="37F87896" w:rsidR="00C9370E" w:rsidRPr="00615C9F" w:rsidRDefault="00C9370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Wiederholung, Leistungskontrollen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040" w14:textId="1B0DC381" w:rsidR="00C9370E" w:rsidRPr="00615C9F" w:rsidRDefault="00C9370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615C9F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15C9F" w:rsidRPr="00615C9F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615C9F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615C9F">
              <w:rPr>
                <w:rFonts w:ascii="Arial" w:hAnsi="Arial" w:cs="Arial"/>
                <w:b/>
              </w:rPr>
              <w:t>Curricularer Bezug</w:t>
            </w:r>
            <w:r w:rsidR="007755F2" w:rsidRPr="00615C9F">
              <w:rPr>
                <w:rStyle w:val="Endnotenzeichen"/>
                <w:rFonts w:ascii="Arial" w:hAnsi="Arial" w:cs="Arial"/>
              </w:rPr>
              <w:endnoteReference w:id="1"/>
            </w:r>
            <w:r w:rsidRPr="00615C9F">
              <w:rPr>
                <w:rFonts w:ascii="Arial" w:hAnsi="Arial" w:cs="Arial"/>
                <w:b/>
              </w:rPr>
              <w:t>:</w:t>
            </w:r>
          </w:p>
          <w:p w14:paraId="43D7B9C8" w14:textId="4C646634" w:rsidR="0011516C" w:rsidRPr="00615C9F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615C9F">
              <w:rPr>
                <w:rFonts w:ascii="Arial" w:hAnsi="Arial" w:cs="Arial"/>
              </w:rPr>
              <w:t>Ausbildungsjahr</w:t>
            </w:r>
            <w:r w:rsidR="00FF0A34" w:rsidRPr="00615C9F">
              <w:rPr>
                <w:rFonts w:ascii="Arial" w:hAnsi="Arial" w:cs="Arial"/>
              </w:rPr>
              <w:t>:</w:t>
            </w:r>
            <w:r w:rsidR="00F40E30" w:rsidRPr="00615C9F">
              <w:rPr>
                <w:rFonts w:ascii="Arial" w:hAnsi="Arial" w:cs="Arial"/>
              </w:rPr>
              <w:t xml:space="preserve"> 1</w:t>
            </w:r>
            <w:r w:rsidR="00FF0A34" w:rsidRPr="00615C9F">
              <w:rPr>
                <w:rFonts w:ascii="Arial" w:hAnsi="Arial" w:cs="Arial"/>
              </w:rPr>
              <w:tab/>
            </w:r>
          </w:p>
          <w:p w14:paraId="45FF0B04" w14:textId="198CD175" w:rsidR="0011516C" w:rsidRPr="00615C9F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615C9F">
              <w:rPr>
                <w:rFonts w:ascii="Arial" w:hAnsi="Arial" w:cs="Arial"/>
              </w:rPr>
              <w:t>Lernfeld Nr</w:t>
            </w:r>
            <w:r w:rsidR="00685BD1" w:rsidRPr="00615C9F">
              <w:rPr>
                <w:rFonts w:ascii="Arial" w:hAnsi="Arial" w:cs="Arial"/>
              </w:rPr>
              <w:t>. 3</w:t>
            </w:r>
            <w:r w:rsidRPr="00615C9F">
              <w:rPr>
                <w:rFonts w:ascii="Arial" w:hAnsi="Arial" w:cs="Arial"/>
              </w:rPr>
              <w:t xml:space="preserve">: </w:t>
            </w:r>
            <w:r w:rsidR="00FF0A34" w:rsidRPr="00615C9F">
              <w:rPr>
                <w:rFonts w:ascii="Arial" w:hAnsi="Arial" w:cs="Arial"/>
              </w:rPr>
              <w:tab/>
            </w:r>
            <w:r w:rsidR="00F40E30" w:rsidRPr="00615C9F">
              <w:rPr>
                <w:rFonts w:ascii="Arial" w:hAnsi="Arial" w:cs="Arial"/>
              </w:rPr>
              <w:t>Glaserzeugung überwachen</w:t>
            </w:r>
            <w:r w:rsidRPr="00615C9F">
              <w:rPr>
                <w:rFonts w:ascii="Arial" w:hAnsi="Arial" w:cs="Arial"/>
              </w:rPr>
              <w:t xml:space="preserve"> (</w:t>
            </w:r>
            <w:r w:rsidR="00F40E30" w:rsidRPr="00615C9F">
              <w:rPr>
                <w:rFonts w:ascii="Arial" w:hAnsi="Arial" w:cs="Arial"/>
              </w:rPr>
              <w:t xml:space="preserve">80 </w:t>
            </w:r>
            <w:proofErr w:type="spellStart"/>
            <w:r w:rsidR="00F40E30" w:rsidRPr="00615C9F">
              <w:rPr>
                <w:rFonts w:ascii="Arial" w:hAnsi="Arial" w:cs="Arial"/>
              </w:rPr>
              <w:t>UStd</w:t>
            </w:r>
            <w:proofErr w:type="spellEnd"/>
            <w:r w:rsidR="00F40E30" w:rsidRPr="00615C9F">
              <w:rPr>
                <w:rFonts w:ascii="Arial" w:hAnsi="Arial" w:cs="Arial"/>
              </w:rPr>
              <w:t>.</w:t>
            </w:r>
            <w:r w:rsidRPr="00615C9F">
              <w:rPr>
                <w:rFonts w:ascii="Arial" w:hAnsi="Arial" w:cs="Arial"/>
              </w:rPr>
              <w:t>)</w:t>
            </w:r>
          </w:p>
          <w:p w14:paraId="64567EBA" w14:textId="0F12C40D" w:rsidR="0011516C" w:rsidRPr="00615C9F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615C9F">
              <w:rPr>
                <w:rFonts w:ascii="Arial" w:hAnsi="Arial" w:cs="Arial"/>
              </w:rPr>
              <w:t>Lernsituation Nr</w:t>
            </w:r>
            <w:r w:rsidR="00F40E30" w:rsidRPr="00615C9F">
              <w:rPr>
                <w:rFonts w:ascii="Arial" w:hAnsi="Arial" w:cs="Arial"/>
              </w:rPr>
              <w:t>. 3</w:t>
            </w:r>
            <w:r w:rsidR="00763AD3" w:rsidRPr="00615C9F">
              <w:rPr>
                <w:rFonts w:ascii="Arial" w:hAnsi="Arial" w:cs="Arial"/>
              </w:rPr>
              <w:t>.</w:t>
            </w:r>
            <w:r w:rsidR="00EC35DE" w:rsidRPr="00615C9F">
              <w:rPr>
                <w:rFonts w:ascii="Arial" w:hAnsi="Arial" w:cs="Arial"/>
              </w:rPr>
              <w:t>2</w:t>
            </w:r>
            <w:r w:rsidRPr="00615C9F">
              <w:rPr>
                <w:rFonts w:ascii="Arial" w:hAnsi="Arial" w:cs="Arial"/>
              </w:rPr>
              <w:t>:</w:t>
            </w:r>
            <w:r w:rsidR="00CB4C11" w:rsidRPr="00615C9F">
              <w:rPr>
                <w:rFonts w:ascii="Arial" w:hAnsi="Arial" w:cs="Arial"/>
              </w:rPr>
              <w:t xml:space="preserve"> </w:t>
            </w:r>
            <w:r w:rsidRPr="00615C9F">
              <w:rPr>
                <w:rFonts w:ascii="Arial" w:hAnsi="Arial" w:cs="Arial"/>
              </w:rPr>
              <w:t xml:space="preserve"> </w:t>
            </w:r>
            <w:r w:rsidR="009D551A" w:rsidRPr="00615C9F">
              <w:rPr>
                <w:rFonts w:ascii="Arial" w:hAnsi="Arial" w:cs="Arial"/>
              </w:rPr>
              <w:t>Änderung der Anforderungen der Glasart</w:t>
            </w:r>
            <w:r w:rsidR="00FF0A34" w:rsidRPr="00615C9F">
              <w:rPr>
                <w:rFonts w:ascii="Arial" w:hAnsi="Arial" w:cs="Arial"/>
              </w:rPr>
              <w:tab/>
            </w:r>
            <w:r w:rsidRPr="00615C9F">
              <w:rPr>
                <w:rStyle w:val="Endnotenzeichen"/>
                <w:rFonts w:ascii="Arial" w:hAnsi="Arial" w:cs="Arial"/>
              </w:rPr>
              <w:endnoteReference w:id="2"/>
            </w:r>
            <w:r w:rsidRPr="00615C9F">
              <w:rPr>
                <w:rFonts w:ascii="Arial" w:hAnsi="Arial" w:cs="Arial"/>
              </w:rPr>
              <w:t xml:space="preserve"> (</w:t>
            </w:r>
            <w:r w:rsidR="002D0F64" w:rsidRPr="00615C9F">
              <w:rPr>
                <w:rFonts w:ascii="Arial" w:hAnsi="Arial" w:cs="Arial"/>
              </w:rPr>
              <w:t xml:space="preserve">30 </w:t>
            </w:r>
            <w:proofErr w:type="spellStart"/>
            <w:r w:rsidR="00460288" w:rsidRPr="00615C9F">
              <w:rPr>
                <w:rFonts w:ascii="Arial" w:hAnsi="Arial" w:cs="Arial"/>
              </w:rPr>
              <w:t>UStd</w:t>
            </w:r>
            <w:proofErr w:type="spellEnd"/>
            <w:r w:rsidR="00460288" w:rsidRPr="00615C9F">
              <w:rPr>
                <w:rFonts w:ascii="Arial" w:hAnsi="Arial" w:cs="Arial"/>
              </w:rPr>
              <w:t>.</w:t>
            </w:r>
            <w:r w:rsidRPr="00615C9F">
              <w:rPr>
                <w:rStyle w:val="Endnotenzeichen"/>
                <w:rFonts w:ascii="Arial" w:hAnsi="Arial" w:cs="Arial"/>
              </w:rPr>
              <w:endnoteReference w:id="3"/>
            </w:r>
            <w:r w:rsidRPr="00615C9F">
              <w:rPr>
                <w:rFonts w:ascii="Arial" w:hAnsi="Arial" w:cs="Arial"/>
              </w:rPr>
              <w:t>)</w:t>
            </w:r>
          </w:p>
        </w:tc>
      </w:tr>
      <w:tr w:rsidR="00615C9F" w:rsidRPr="00615C9F" w14:paraId="699C3AE8" w14:textId="77777777" w:rsidTr="009360BD">
        <w:tc>
          <w:tcPr>
            <w:tcW w:w="4673" w:type="dxa"/>
          </w:tcPr>
          <w:p w14:paraId="2EB3529D" w14:textId="4BF016CE" w:rsidR="00460288" w:rsidRPr="00615C9F" w:rsidRDefault="009360BD" w:rsidP="00D33B9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615C9F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</w:p>
          <w:p w14:paraId="0C465324" w14:textId="49CCEEFB" w:rsidR="00460288" w:rsidRPr="00615C9F" w:rsidRDefault="00460288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5F8E514" w14:textId="55DD8295" w:rsidR="00223C17" w:rsidRPr="00615C9F" w:rsidRDefault="00223C17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Ein Kunde ordert blaue Weinflaschen. Sie bekommen den Auft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rag das Gemenge umzustellen. </w:t>
            </w:r>
            <w:r w:rsidR="001B74A4" w:rsidRPr="00615C9F">
              <w:rPr>
                <w:rFonts w:ascii="Arial" w:hAnsi="Arial" w:cs="Arial"/>
                <w:color w:val="auto"/>
                <w:sz w:val="24"/>
                <w:szCs w:val="24"/>
              </w:rPr>
              <w:t>Der Kunde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möchte</w:t>
            </w:r>
            <w:r w:rsidR="001B74A4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die zu erwartenden Eigenschaften der Behälter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wissen</w:t>
            </w:r>
            <w:r w:rsidR="001B74A4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und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welche Funktionen die einzelnen Rohstoffe in der Schmelze haben.</w:t>
            </w:r>
          </w:p>
          <w:p w14:paraId="54A7A8D0" w14:textId="54874735" w:rsidR="00385B7C" w:rsidRPr="00615C9F" w:rsidRDefault="00385B7C" w:rsidP="009D551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7510BA" w14:textId="77777777" w:rsidR="009360BD" w:rsidRPr="00615C9F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615C9F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2D37D79B" w14:textId="77777777" w:rsidR="009360BD" w:rsidRPr="00615C9F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BA9C18A" w14:textId="77777777" w:rsidR="008D376A" w:rsidRPr="00615C9F" w:rsidRDefault="008D376A" w:rsidP="001F2E6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Tabelle mit Rohstoffname</w:t>
            </w:r>
          </w:p>
          <w:p w14:paraId="160F722F" w14:textId="40C5A310" w:rsidR="00CB4C11" w:rsidRPr="00615C9F" w:rsidRDefault="001F2E6F" w:rsidP="001F2E6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Plakat mit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Funktion und Einfluss auf die Glaseigenschaften</w:t>
            </w:r>
          </w:p>
        </w:tc>
      </w:tr>
      <w:tr w:rsidR="00615C9F" w:rsidRPr="00615C9F" w14:paraId="15304238" w14:textId="77777777" w:rsidTr="0011516C">
        <w:tc>
          <w:tcPr>
            <w:tcW w:w="4673" w:type="dxa"/>
          </w:tcPr>
          <w:p w14:paraId="298CBB36" w14:textId="2C1CDCE9" w:rsidR="00137F8A" w:rsidRPr="00615C9F" w:rsidRDefault="00137F8A" w:rsidP="00137F8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615C9F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  <w:r w:rsidR="00761E8E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615C9F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6A53A671" w14:textId="58BD14AA" w:rsidR="00685BD1" w:rsidRPr="00615C9F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CEAE39" w14:textId="08036B72" w:rsidR="00685BD1" w:rsidRPr="00615C9F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verfügen über die Kompetenz, Glasschmelzen zu erzeugen und den Schmelzprozess zu überwachen.</w:t>
            </w:r>
          </w:p>
          <w:p w14:paraId="063DBB13" w14:textId="77777777" w:rsidR="00685BD1" w:rsidRPr="00615C9F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49A87F" w14:textId="77777777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…</w:t>
            </w:r>
          </w:p>
          <w:p w14:paraId="29D1EAE0" w14:textId="4A70135F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analysieren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den Gemengesatz</w:t>
            </w:r>
            <w:r w:rsidR="00E83EB0" w:rsidRPr="00615C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752C6BF0" w14:textId="4811246F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informieren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sich über Funktion der Rohstoffe in der Schmelze</w:t>
            </w:r>
            <w:r w:rsidR="00E83EB0" w:rsidRPr="00615C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435CADA" w14:textId="63A0080D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planen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die neue Zusammensetzung der blauen Weinflaschen</w:t>
            </w:r>
            <w:r w:rsidR="00E83EB0" w:rsidRPr="00615C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5EB3DFFD" w14:textId="443E1E79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erzeugen</w:t>
            </w:r>
            <w:r w:rsidR="0029644A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die Tabelle</w:t>
            </w:r>
            <w:r w:rsidR="00E83EB0" w:rsidRPr="00615C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35A4E219" w14:textId="0A627494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836A1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führen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die Umstellung durch</w:t>
            </w:r>
            <w:r w:rsidR="00E83EB0" w:rsidRPr="00615C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1F20D21" w14:textId="429F67E1" w:rsidR="000E12F9" w:rsidRPr="00615C9F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Segoe UI Emoji" w:hAnsi="Segoe UI Emoji" w:cs="Segoe UI Emoji"/>
                <w:color w:val="auto"/>
                <w:sz w:val="24"/>
                <w:szCs w:val="24"/>
              </w:rPr>
              <w:t xml:space="preserve">▶ </w:t>
            </w: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reflektieren</w:t>
            </w:r>
            <w:r w:rsidR="006836A1"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D376A" w:rsidRPr="00615C9F">
              <w:rPr>
                <w:rFonts w:ascii="Arial" w:hAnsi="Arial" w:cs="Arial"/>
                <w:color w:val="auto"/>
                <w:sz w:val="24"/>
                <w:szCs w:val="24"/>
              </w:rPr>
              <w:t>ihre Ergebnisse</w:t>
            </w:r>
            <w:r w:rsidR="00E83EB0" w:rsidRPr="00615C9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6F6D3CC" w14:textId="4D045582" w:rsidR="00685BD1" w:rsidRPr="00615C9F" w:rsidRDefault="00685BD1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7F009" w14:textId="2B99A7BF" w:rsidR="00D4179F" w:rsidRPr="00615C9F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615C9F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8"/>
            </w:r>
          </w:p>
          <w:p w14:paraId="40C50F19" w14:textId="334522D3" w:rsidR="00D4179F" w:rsidRPr="00615C9F" w:rsidRDefault="00D4179F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64926C6" w14:textId="277102A2" w:rsidR="00385B7C" w:rsidRPr="00615C9F" w:rsidRDefault="008D376A" w:rsidP="001F2E6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3D3239" w:rsidRPr="00615C9F">
              <w:rPr>
                <w:rFonts w:ascii="Arial" w:hAnsi="Arial" w:cs="Arial"/>
                <w:color w:val="auto"/>
                <w:sz w:val="24"/>
                <w:szCs w:val="24"/>
              </w:rPr>
              <w:t>etzwerkbildner</w:t>
            </w:r>
          </w:p>
          <w:p w14:paraId="34E73C06" w14:textId="42FC49A8" w:rsidR="008D376A" w:rsidRPr="00615C9F" w:rsidRDefault="00480F1E" w:rsidP="001F2E6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Stabilisatoren</w:t>
            </w:r>
          </w:p>
          <w:p w14:paraId="63A2893F" w14:textId="14B8A21D" w:rsidR="00480F1E" w:rsidRPr="00615C9F" w:rsidRDefault="00480F1E" w:rsidP="001F2E6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Flussmittel</w:t>
            </w:r>
          </w:p>
          <w:p w14:paraId="7D3836E0" w14:textId="1C9B3AA3" w:rsidR="008D376A" w:rsidRPr="00615C9F" w:rsidRDefault="008D376A" w:rsidP="001F2E6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Läutermittel</w:t>
            </w:r>
          </w:p>
          <w:p w14:paraId="0A2540C8" w14:textId="04660F14" w:rsidR="008D376A" w:rsidRPr="00615C9F" w:rsidRDefault="008D376A" w:rsidP="001F2E6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Färbe- und </w:t>
            </w:r>
            <w:proofErr w:type="spellStart"/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Entfärbemittel</w:t>
            </w:r>
            <w:proofErr w:type="spellEnd"/>
          </w:p>
          <w:p w14:paraId="5A5D19E7" w14:textId="6DD2D371" w:rsidR="00551C49" w:rsidRPr="00615C9F" w:rsidRDefault="00551C49" w:rsidP="001F2E6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Glasoxide von Kalk-Natron-</w:t>
            </w:r>
            <w:proofErr w:type="spellStart"/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>Silikatglas</w:t>
            </w:r>
            <w:proofErr w:type="spellEnd"/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 und Borosilikatglas</w:t>
            </w:r>
          </w:p>
          <w:p w14:paraId="7E55DA21" w14:textId="15F10BFB" w:rsidR="00385B7C" w:rsidRPr="00615C9F" w:rsidRDefault="00385B7C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15C9F" w:rsidRPr="00615C9F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615C9F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615C9F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615C9F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9"/>
            </w:r>
          </w:p>
          <w:p w14:paraId="14F83D33" w14:textId="465648EA" w:rsidR="00CC292A" w:rsidRPr="00615C9F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7380668" w14:textId="19C404F3" w:rsidR="008D376A" w:rsidRPr="00615C9F" w:rsidRDefault="008D376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5C9F">
              <w:rPr>
                <w:rFonts w:ascii="Arial" w:hAnsi="Arial" w:cs="Arial"/>
                <w:color w:val="auto"/>
                <w:sz w:val="24"/>
                <w:szCs w:val="24"/>
              </w:rPr>
              <w:t xml:space="preserve">Internetrecherche, Fachbücher, </w:t>
            </w:r>
            <w:r w:rsidR="001F2E6F" w:rsidRPr="00615C9F">
              <w:rPr>
                <w:rFonts w:ascii="Arial" w:hAnsi="Arial" w:cs="Arial"/>
                <w:color w:val="auto"/>
                <w:sz w:val="24"/>
                <w:szCs w:val="24"/>
              </w:rPr>
              <w:t>Plakat (Galeriegang), Gruppenarbeit</w:t>
            </w:r>
          </w:p>
          <w:p w14:paraId="152273DC" w14:textId="2305B9D9" w:rsidR="007A34F8" w:rsidRPr="00615C9F" w:rsidRDefault="007A34F8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3512044B" w14:textId="77777777" w:rsidR="0011516C" w:rsidRPr="00C10E19" w:rsidRDefault="0011516C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aussagefähige Titel der Lernsituation ist kurz, prägnant und beschreibt die grundsätzliche Handlung (z.</w:t>
      </w:r>
      <w:r w:rsidR="00172912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durch Substantiv und Verb).</w:t>
      </w:r>
    </w:p>
  </w:endnote>
  <w:endnote w:id="3">
    <w:p w14:paraId="0F3B84CB" w14:textId="77777777" w:rsidR="0011516C" w:rsidRPr="00FC1C38" w:rsidRDefault="0011516C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>
        <w:rPr>
          <w:rFonts w:ascii="Arial" w:hAnsi="Arial" w:cs="Arial"/>
          <w:color w:val="auto"/>
          <w:sz w:val="20"/>
        </w:rPr>
        <w:tab/>
      </w:r>
      <w:r w:rsidRPr="00FC1C38">
        <w:rPr>
          <w:rFonts w:ascii="Arial" w:hAnsi="Arial" w:cs="Arial"/>
          <w:color w:val="auto"/>
          <w:sz w:val="20"/>
        </w:rPr>
        <w:t>Der Zeitrichtwert bezieht sich auf die Summe einzelner Unterrichtsstunden der Lernsituation und wird aus dem zu erwartenden Arbeitsaufwand abgeleitet.</w:t>
      </w:r>
      <w:r w:rsidR="00925FDC" w:rsidRPr="00FC1C38">
        <w:rPr>
          <w:rFonts w:ascii="Arial" w:hAnsi="Arial" w:cs="Arial"/>
          <w:color w:val="auto"/>
          <w:sz w:val="20"/>
        </w:rPr>
        <w:t xml:space="preserve"> </w:t>
      </w:r>
      <w:r w:rsidRPr="00FC1C38">
        <w:rPr>
          <w:rFonts w:ascii="Arial" w:hAnsi="Arial" w:cs="Arial"/>
          <w:color w:val="auto"/>
          <w:sz w:val="20"/>
        </w:rPr>
        <w:t xml:space="preserve">Bezugspunkt </w:t>
      </w:r>
      <w:r w:rsidR="00575835" w:rsidRPr="00FC1C38">
        <w:rPr>
          <w:rFonts w:ascii="Arial" w:hAnsi="Arial" w:cs="Arial"/>
          <w:color w:val="auto"/>
          <w:sz w:val="20"/>
        </w:rPr>
        <w:t xml:space="preserve">ist der </w:t>
      </w:r>
      <w:r w:rsidRPr="00FC1C38">
        <w:rPr>
          <w:rFonts w:ascii="Arial" w:hAnsi="Arial" w:cs="Arial"/>
          <w:color w:val="auto"/>
          <w:sz w:val="20"/>
        </w:rPr>
        <w:t>Zeitrichtwert de</w:t>
      </w:r>
      <w:r w:rsidR="00575835" w:rsidRPr="00FC1C38">
        <w:rPr>
          <w:rFonts w:ascii="Arial" w:hAnsi="Arial" w:cs="Arial"/>
          <w:color w:val="auto"/>
          <w:sz w:val="20"/>
        </w:rPr>
        <w:t>s</w:t>
      </w:r>
      <w:r w:rsidRPr="00FC1C38">
        <w:rPr>
          <w:rFonts w:ascii="Arial" w:hAnsi="Arial" w:cs="Arial"/>
          <w:color w:val="auto"/>
          <w:sz w:val="20"/>
        </w:rPr>
        <w:t xml:space="preserve"> </w:t>
      </w:r>
      <w:r w:rsidR="00575835" w:rsidRPr="00FC1C38">
        <w:rPr>
          <w:rFonts w:ascii="Arial" w:hAnsi="Arial" w:cs="Arial"/>
          <w:color w:val="auto"/>
          <w:sz w:val="20"/>
        </w:rPr>
        <w:t>Rahmenlehrplans</w:t>
      </w:r>
      <w:r w:rsidRPr="00FC1C38">
        <w:rPr>
          <w:rFonts w:ascii="Arial" w:hAnsi="Arial" w:cs="Arial"/>
          <w:color w:val="auto"/>
          <w:sz w:val="20"/>
        </w:rPr>
        <w:t>.</w:t>
      </w:r>
    </w:p>
  </w:endnote>
  <w:endnote w:id="4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5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6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>, Selbst- und Sozialkompetenz. In Handlungskompetenz sind Kommunikations-, Methoden- und 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7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8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9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C23" w14:textId="0ABCA284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615C9F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3F6" w14:textId="1453956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15C9F">
      <w:rPr>
        <w:rFonts w:eastAsia="Calibri"/>
        <w:noProof/>
        <w:sz w:val="20"/>
        <w:szCs w:val="20"/>
      </w:rPr>
      <w:t>24.02.2026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15C9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6319E4"/>
    <w:multiLevelType w:val="hybridMultilevel"/>
    <w:tmpl w:val="645A6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B3C"/>
    <w:multiLevelType w:val="hybridMultilevel"/>
    <w:tmpl w:val="91C6F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2E70"/>
    <w:multiLevelType w:val="hybridMultilevel"/>
    <w:tmpl w:val="44724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1443650885">
    <w:abstractNumId w:val="1"/>
  </w:num>
  <w:num w:numId="2" w16cid:durableId="1527713224">
    <w:abstractNumId w:val="5"/>
  </w:num>
  <w:num w:numId="3" w16cid:durableId="136727658">
    <w:abstractNumId w:val="4"/>
  </w:num>
  <w:num w:numId="4" w16cid:durableId="12806760">
    <w:abstractNumId w:val="6"/>
  </w:num>
  <w:num w:numId="5" w16cid:durableId="1426802674">
    <w:abstractNumId w:val="8"/>
  </w:num>
  <w:num w:numId="6" w16cid:durableId="449475089">
    <w:abstractNumId w:val="0"/>
  </w:num>
  <w:num w:numId="7" w16cid:durableId="1297107475">
    <w:abstractNumId w:val="3"/>
  </w:num>
  <w:num w:numId="8" w16cid:durableId="1664355073">
    <w:abstractNumId w:val="7"/>
  </w:num>
  <w:num w:numId="9" w16cid:durableId="106583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D"/>
    <w:rsid w:val="00000A2F"/>
    <w:rsid w:val="0004673B"/>
    <w:rsid w:val="00047578"/>
    <w:rsid w:val="0005603C"/>
    <w:rsid w:val="000C3E29"/>
    <w:rsid w:val="000E12F9"/>
    <w:rsid w:val="0011516C"/>
    <w:rsid w:val="00137F8A"/>
    <w:rsid w:val="0015710B"/>
    <w:rsid w:val="00171B91"/>
    <w:rsid w:val="00172912"/>
    <w:rsid w:val="001B74A4"/>
    <w:rsid w:val="001F2E6F"/>
    <w:rsid w:val="0020130C"/>
    <w:rsid w:val="00223C17"/>
    <w:rsid w:val="002329F6"/>
    <w:rsid w:val="00260527"/>
    <w:rsid w:val="00261B54"/>
    <w:rsid w:val="0029644A"/>
    <w:rsid w:val="002B2319"/>
    <w:rsid w:val="002D0F64"/>
    <w:rsid w:val="002E6AF5"/>
    <w:rsid w:val="002F5582"/>
    <w:rsid w:val="003651B8"/>
    <w:rsid w:val="00385B7C"/>
    <w:rsid w:val="003A5E5C"/>
    <w:rsid w:val="003D3239"/>
    <w:rsid w:val="00460288"/>
    <w:rsid w:val="00480F1E"/>
    <w:rsid w:val="00497790"/>
    <w:rsid w:val="004A26FF"/>
    <w:rsid w:val="004E5B03"/>
    <w:rsid w:val="00545C44"/>
    <w:rsid w:val="00551C49"/>
    <w:rsid w:val="0057447B"/>
    <w:rsid w:val="00575835"/>
    <w:rsid w:val="00590CE9"/>
    <w:rsid w:val="005E648B"/>
    <w:rsid w:val="006041EF"/>
    <w:rsid w:val="00615C9F"/>
    <w:rsid w:val="00626E19"/>
    <w:rsid w:val="00627E66"/>
    <w:rsid w:val="0066766A"/>
    <w:rsid w:val="00672660"/>
    <w:rsid w:val="006836A1"/>
    <w:rsid w:val="00685BD1"/>
    <w:rsid w:val="006E7C04"/>
    <w:rsid w:val="00707E6F"/>
    <w:rsid w:val="007337F4"/>
    <w:rsid w:val="00747EE2"/>
    <w:rsid w:val="007515BF"/>
    <w:rsid w:val="00761E8E"/>
    <w:rsid w:val="00763AD3"/>
    <w:rsid w:val="007755F2"/>
    <w:rsid w:val="00794CE8"/>
    <w:rsid w:val="007A34F8"/>
    <w:rsid w:val="008137F4"/>
    <w:rsid w:val="00846599"/>
    <w:rsid w:val="008648B0"/>
    <w:rsid w:val="00873983"/>
    <w:rsid w:val="00895116"/>
    <w:rsid w:val="008C1DE3"/>
    <w:rsid w:val="008D376A"/>
    <w:rsid w:val="008E2A4F"/>
    <w:rsid w:val="00916422"/>
    <w:rsid w:val="00921CBF"/>
    <w:rsid w:val="00925FDC"/>
    <w:rsid w:val="009360BD"/>
    <w:rsid w:val="0096461F"/>
    <w:rsid w:val="00977007"/>
    <w:rsid w:val="0098543D"/>
    <w:rsid w:val="009B7665"/>
    <w:rsid w:val="009D551A"/>
    <w:rsid w:val="009D5EF1"/>
    <w:rsid w:val="009E15E3"/>
    <w:rsid w:val="009E658F"/>
    <w:rsid w:val="00A064B4"/>
    <w:rsid w:val="00A75662"/>
    <w:rsid w:val="00A83465"/>
    <w:rsid w:val="00AE21D4"/>
    <w:rsid w:val="00B12AE4"/>
    <w:rsid w:val="00B221DF"/>
    <w:rsid w:val="00B719FA"/>
    <w:rsid w:val="00BC370A"/>
    <w:rsid w:val="00BD39D4"/>
    <w:rsid w:val="00BE699F"/>
    <w:rsid w:val="00C10E19"/>
    <w:rsid w:val="00C53F7E"/>
    <w:rsid w:val="00C9370E"/>
    <w:rsid w:val="00CB4C11"/>
    <w:rsid w:val="00CC292A"/>
    <w:rsid w:val="00CD189D"/>
    <w:rsid w:val="00D1479C"/>
    <w:rsid w:val="00D208BC"/>
    <w:rsid w:val="00D33B91"/>
    <w:rsid w:val="00D33FBC"/>
    <w:rsid w:val="00D4179F"/>
    <w:rsid w:val="00D7295B"/>
    <w:rsid w:val="00D961F5"/>
    <w:rsid w:val="00DC60D0"/>
    <w:rsid w:val="00DF0EBC"/>
    <w:rsid w:val="00E064FD"/>
    <w:rsid w:val="00E83EB0"/>
    <w:rsid w:val="00EC35DE"/>
    <w:rsid w:val="00EC6BEF"/>
    <w:rsid w:val="00EC7A36"/>
    <w:rsid w:val="00EE00CD"/>
    <w:rsid w:val="00EF6304"/>
    <w:rsid w:val="00F223DD"/>
    <w:rsid w:val="00F26D2A"/>
    <w:rsid w:val="00F40E30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ebastian Viehbeck"/>
    <f:field ref="FSCFOLIO_1_1001_FieldCurrentDate" text="14.02.2022 17:28"/>
    <f:field ref="CCAPRECONFIG_15_1001_Objektname" text="A1.1_Lernsituation" edit="true"/>
    <f:field ref="DEPRECONFIG_15_1001_Objektname" text="A1.1_Lernsituation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1.1_Lernsituation" edit="true"/>
    <f:field ref="objsubject" text="" edit="true"/>
    <f:field ref="objcreatedby" text="Viehbeck, Sebastian, StMUK"/>
    <f:field ref="objcreatedat" date="2021-12-09T10:29:38" text="09.12.2021 10:29:38"/>
    <f:field ref="objchangedby" text="Viehbeck, Sebastian, StMUK"/>
    <f:field ref="objmodifiedat" date="2021-12-09T10:29:38" text="09.12.2021 10:29:38"/>
    <f:field ref="objprimaryrelated__0_objname" text="Landesinstitute - Aufbereitung von Material für PbB (Kopie)" edit="true"/>
    <f:field ref="objprimaryrelated__0_objsubject" text="" edit="true"/>
    <f:field ref="objprimaryrelated__0_objcreatedby" text="Viehbeck, Sebastian, StMUK"/>
    <f:field ref="objprimaryrelated__0_objcreatedat" date="2021-12-09T10:29:37" text="09.12.2021 10:29:37"/>
    <f:field ref="objprimaryrelated__0_objchangedby" text="Viehbeck, Sebastian, StMUK"/>
    <f:field ref="objprimaryrelated__0_objmodifiedat" date="2022-02-08T17:06:30" text="08.02.2022 17:06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7ACB07BB-ADB0-4524-8A28-344B3C9B5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Stark, Alfred</cp:lastModifiedBy>
  <cp:revision>4</cp:revision>
  <dcterms:created xsi:type="dcterms:W3CDTF">2026-02-24T09:14:00Z</dcterms:created>
  <dcterms:modified xsi:type="dcterms:W3CDTF">2026-03-03T10:43:00Z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14.02.2022 17:28:55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 Viehbeck</vt:lpwstr>
  </property>
  <property fmtid="{D5CDD505-2E9C-101B-9397-08002B2CF9AE}" pid="130" name="FSC#COOELAK@1.1001:OwnerExtension">
    <vt:lpwstr>2382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VI.3 (Referat VI.3 (StMUK))</vt:lpwstr>
  </property>
  <property fmtid="{D5CDD505-2E9C-101B-9397-08002B2CF9AE}" pid="137" name="FSC#COOELAK@1.1001:CreatedAt">
    <vt:lpwstr>09.12.2021</vt:lpwstr>
  </property>
  <property fmtid="{D5CDD505-2E9C-101B-9397-08002B2CF9AE}" pid="138" name="FSC#COOELAK@1.1001:OU">
    <vt:lpwstr>VI.3 (Referat VI.3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*COO.4001.106.7.1697468*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sebastian.viehbeck@stmuk.bayern.de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Sebastian Viehbeck</vt:lpwstr>
  </property>
  <property fmtid="{D5CDD505-2E9C-101B-9397-08002B2CF9AE}" pid="206" name="FSC#DEPRECONFIG@15.1001:AuthorMail">
    <vt:lpwstr>sebastian.viehbeck@stmuk.bayern.de</vt:lpwstr>
  </property>
  <property fmtid="{D5CDD505-2E9C-101B-9397-08002B2CF9AE}" pid="207" name="FSC#DEPRECONFIG@15.1001:AuthorTelephone">
    <vt:lpwstr>2382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VI.3 (Referat VI.3 (StMUK))</vt:lpwstr>
  </property>
  <property fmtid="{D5CDD505-2E9C-101B-9397-08002B2CF9AE}" pid="210" name="FSC#COOSYSTEM@1.1:Container">
    <vt:lpwstr>COO.4001.106.7.1697468</vt:lpwstr>
  </property>
  <property fmtid="{D5CDD505-2E9C-101B-9397-08002B2CF9AE}" pid="211" name="FSC#FSCFOLIO@1.1001:docpropproject">
    <vt:lpwstr/>
  </property>
</Properties>
</file>