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65C7" w14:textId="77777777" w:rsidR="006870C3" w:rsidRPr="00A7340D" w:rsidRDefault="00725431" w:rsidP="00546648">
      <w:pPr>
        <w:spacing w:after="120"/>
        <w:rPr>
          <w:rFonts w:cs="Arial"/>
          <w:b/>
          <w:szCs w:val="24"/>
        </w:rPr>
      </w:pPr>
      <w:r>
        <w:rPr>
          <w:rFonts w:cs="Arial"/>
          <w:b/>
          <w:szCs w:val="24"/>
        </w:rPr>
        <w:t>C</w:t>
      </w:r>
      <w:r w:rsidR="00812F77">
        <w:rPr>
          <w:rFonts w:cs="Arial"/>
          <w:b/>
          <w:szCs w:val="24"/>
        </w:rPr>
        <w:t>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6870C3" w14:paraId="54F8D6C2" w14:textId="77777777" w:rsidTr="00F43990">
        <w:trPr>
          <w:trHeight w:val="850"/>
          <w:jc w:val="center"/>
        </w:trPr>
        <w:tc>
          <w:tcPr>
            <w:tcW w:w="14572" w:type="dxa"/>
          </w:tcPr>
          <w:p w14:paraId="683854D0"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Lernfeld</w:t>
            </w:r>
            <w:r w:rsidR="00E41E2F">
              <w:t xml:space="preserve"> </w:t>
            </w:r>
            <w:r w:rsidRPr="00A7340D">
              <w:rPr>
                <w:rFonts w:eastAsia="Times New Roman" w:cs="Arial"/>
                <w:b/>
                <w:szCs w:val="24"/>
                <w:lang w:eastAsia="de-DE"/>
              </w:rPr>
              <w:t>Nr.</w:t>
            </w:r>
            <w:r w:rsidR="00CC0066">
              <w:rPr>
                <w:rFonts w:eastAsia="Times New Roman" w:cs="Arial"/>
                <w:b/>
                <w:szCs w:val="24"/>
                <w:lang w:eastAsia="de-DE"/>
              </w:rPr>
              <w:t xml:space="preserve"> 8</w:t>
            </w:r>
            <w:r w:rsidR="00980679">
              <w:rPr>
                <w:rFonts w:eastAsia="Times New Roman" w:cs="Arial"/>
                <w:b/>
                <w:szCs w:val="24"/>
                <w:lang w:eastAsia="de-DE"/>
              </w:rPr>
              <w:t xml:space="preserve">: </w:t>
            </w:r>
            <w:r w:rsidR="00980679">
              <w:rPr>
                <w:rFonts w:eastAsia="Times New Roman" w:cs="Arial"/>
                <w:b/>
                <w:szCs w:val="24"/>
                <w:lang w:eastAsia="de-DE"/>
              </w:rPr>
              <w:tab/>
            </w:r>
            <w:r w:rsidR="00CC0066">
              <w:rPr>
                <w:rFonts w:cs="Arial"/>
                <w:b/>
              </w:rPr>
              <w:t>Nachhaltiges Handeln im öffentlichen Dienst mitgestalten</w:t>
            </w:r>
          </w:p>
          <w:p w14:paraId="541AA161"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Ausbildungsjahr</w:t>
            </w:r>
            <w:r>
              <w:rPr>
                <w:rFonts w:eastAsia="Times New Roman" w:cs="Arial"/>
                <w:b/>
                <w:szCs w:val="24"/>
                <w:lang w:eastAsia="de-DE"/>
              </w:rPr>
              <w:t>:</w:t>
            </w:r>
            <w:r>
              <w:rPr>
                <w:rFonts w:eastAsia="Times New Roman" w:cs="Arial"/>
                <w:b/>
                <w:szCs w:val="24"/>
                <w:lang w:eastAsia="de-DE"/>
              </w:rPr>
              <w:tab/>
            </w:r>
            <w:r w:rsidR="009445DB">
              <w:rPr>
                <w:rFonts w:eastAsia="Times New Roman" w:cs="Arial"/>
                <w:b/>
                <w:szCs w:val="24"/>
                <w:lang w:eastAsia="de-DE"/>
              </w:rPr>
              <w:t>2</w:t>
            </w:r>
          </w:p>
          <w:p w14:paraId="1CADDCB5" w14:textId="77777777" w:rsidR="004F00E4" w:rsidRPr="00A7340D" w:rsidRDefault="004F00E4" w:rsidP="00D463F9">
            <w:pPr>
              <w:tabs>
                <w:tab w:val="left" w:pos="2268"/>
              </w:tabs>
              <w:spacing w:before="60" w:after="60"/>
              <w:ind w:left="2268" w:hanging="2268"/>
              <w:rPr>
                <w:rFonts w:cs="Arial"/>
                <w:b/>
                <w:szCs w:val="24"/>
              </w:rPr>
            </w:pPr>
            <w:r w:rsidRPr="00A7340D">
              <w:rPr>
                <w:rFonts w:eastAsia="Times New Roman" w:cs="Arial"/>
                <w:b/>
                <w:szCs w:val="24"/>
                <w:lang w:eastAsia="de-DE"/>
              </w:rPr>
              <w:t xml:space="preserve">Zeitrichtwert: </w:t>
            </w:r>
            <w:r>
              <w:rPr>
                <w:rFonts w:eastAsia="Times New Roman" w:cs="Arial"/>
                <w:b/>
                <w:szCs w:val="24"/>
                <w:lang w:eastAsia="de-DE"/>
              </w:rPr>
              <w:tab/>
            </w:r>
            <w:r w:rsidR="00CC0066">
              <w:rPr>
                <w:rFonts w:eastAsia="Times New Roman" w:cs="Arial"/>
                <w:b/>
                <w:szCs w:val="24"/>
                <w:lang w:eastAsia="de-DE"/>
              </w:rPr>
              <w:t>8</w:t>
            </w:r>
            <w:r w:rsidR="00D463F9">
              <w:rPr>
                <w:rFonts w:eastAsia="Times New Roman" w:cs="Arial"/>
                <w:b/>
                <w:szCs w:val="24"/>
                <w:lang w:eastAsia="de-DE"/>
              </w:rPr>
              <w:t>0</w:t>
            </w:r>
            <w:r w:rsidRPr="00A7340D">
              <w:rPr>
                <w:rFonts w:eastAsia="Times New Roman" w:cs="Arial"/>
                <w:b/>
                <w:szCs w:val="24"/>
                <w:lang w:eastAsia="de-DE"/>
              </w:rPr>
              <w:t xml:space="preserve"> Stunden</w:t>
            </w:r>
          </w:p>
        </w:tc>
      </w:tr>
    </w:tbl>
    <w:p w14:paraId="6953A37F" w14:textId="77777777" w:rsidR="00D64EE3" w:rsidRDefault="00D64EE3" w:rsidP="00546648"/>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6870C3" w14:paraId="68985581" w14:textId="77777777" w:rsidTr="00530C0B">
        <w:trPr>
          <w:trHeight w:val="794"/>
          <w:jc w:val="center"/>
        </w:trPr>
        <w:tc>
          <w:tcPr>
            <w:tcW w:w="2551" w:type="dxa"/>
            <w:shd w:val="clear" w:color="auto" w:fill="D9D9D9" w:themeFill="background1" w:themeFillShade="D9"/>
          </w:tcPr>
          <w:p w14:paraId="48B422DE" w14:textId="77777777" w:rsidR="004F00E4" w:rsidRPr="004F00E4" w:rsidRDefault="004F00E4" w:rsidP="00546648">
            <w:pPr>
              <w:rPr>
                <w:rFonts w:eastAsia="Times New Roman" w:cs="Arial"/>
                <w:b/>
                <w:szCs w:val="24"/>
                <w:lang w:eastAsia="de-DE"/>
              </w:rPr>
            </w:pPr>
            <w:r w:rsidRPr="004F00E4">
              <w:rPr>
                <w:rFonts w:eastAsia="Times New Roman" w:cs="Arial"/>
                <w:b/>
                <w:szCs w:val="24"/>
                <w:lang w:eastAsia="de-DE"/>
              </w:rPr>
              <w:t>Phase der vollständigen Handlung</w:t>
            </w:r>
          </w:p>
        </w:tc>
        <w:tc>
          <w:tcPr>
            <w:tcW w:w="5274" w:type="dxa"/>
            <w:shd w:val="clear" w:color="auto" w:fill="D9D9D9" w:themeFill="background1" w:themeFillShade="D9"/>
          </w:tcPr>
          <w:p w14:paraId="41AA6F6C" w14:textId="77777777" w:rsidR="004F00E4" w:rsidRPr="00A7340D" w:rsidRDefault="004F00E4" w:rsidP="00546648">
            <w:pPr>
              <w:rPr>
                <w:rFonts w:cs="Arial"/>
                <w:b/>
                <w:szCs w:val="24"/>
              </w:rPr>
            </w:pPr>
            <w:r>
              <w:rPr>
                <w:rFonts w:cs="Arial"/>
                <w:b/>
                <w:szCs w:val="24"/>
              </w:rPr>
              <w:t xml:space="preserve">Kompetenz aus dem </w:t>
            </w:r>
            <w:r w:rsidR="008F0FFE">
              <w:rPr>
                <w:rFonts w:cs="Arial"/>
                <w:b/>
                <w:szCs w:val="24"/>
              </w:rPr>
              <w:t>Rahmenl</w:t>
            </w:r>
            <w:r>
              <w:rPr>
                <w:rFonts w:cs="Arial"/>
                <w:b/>
                <w:szCs w:val="24"/>
              </w:rPr>
              <w:t>ehrplan</w:t>
            </w:r>
          </w:p>
        </w:tc>
        <w:tc>
          <w:tcPr>
            <w:tcW w:w="4139" w:type="dxa"/>
            <w:shd w:val="clear" w:color="auto" w:fill="D9D9D9" w:themeFill="background1" w:themeFillShade="D9"/>
          </w:tcPr>
          <w:p w14:paraId="428154BB" w14:textId="77777777" w:rsidR="004F00E4" w:rsidRPr="00A7340D" w:rsidRDefault="004F00E4" w:rsidP="00546648">
            <w:pPr>
              <w:rPr>
                <w:rFonts w:cs="Arial"/>
                <w:b/>
                <w:szCs w:val="24"/>
              </w:rPr>
            </w:pPr>
            <w:r w:rsidRPr="00A7340D">
              <w:rPr>
                <w:rFonts w:cs="Arial"/>
                <w:b/>
                <w:szCs w:val="24"/>
              </w:rPr>
              <w:t>Berufliche Handlungen</w:t>
            </w:r>
            <w:r w:rsidRPr="00A7340D">
              <w:rPr>
                <w:rStyle w:val="Funotenzeichen"/>
                <w:rFonts w:cs="Arial"/>
                <w:b/>
                <w:szCs w:val="24"/>
              </w:rPr>
              <w:footnoteReference w:id="1"/>
            </w:r>
          </w:p>
        </w:tc>
        <w:tc>
          <w:tcPr>
            <w:tcW w:w="2608" w:type="dxa"/>
            <w:shd w:val="clear" w:color="auto" w:fill="D9D9D9" w:themeFill="background1" w:themeFillShade="D9"/>
          </w:tcPr>
          <w:p w14:paraId="769C633F" w14:textId="77777777" w:rsidR="004F00E4" w:rsidRPr="00A7340D" w:rsidRDefault="004F00E4" w:rsidP="00546648">
            <w:pPr>
              <w:rPr>
                <w:rFonts w:cs="Arial"/>
                <w:b/>
                <w:szCs w:val="24"/>
              </w:rPr>
            </w:pPr>
            <w:r w:rsidRPr="00A7340D">
              <w:rPr>
                <w:rFonts w:cs="Arial"/>
                <w:b/>
                <w:szCs w:val="24"/>
              </w:rPr>
              <w:t>Anmerkungen</w:t>
            </w:r>
            <w:r w:rsidRPr="00A7340D">
              <w:rPr>
                <w:rStyle w:val="Funotenzeichen"/>
                <w:rFonts w:cs="Arial"/>
                <w:b/>
                <w:szCs w:val="24"/>
              </w:rPr>
              <w:footnoteReference w:id="2"/>
            </w:r>
          </w:p>
        </w:tc>
      </w:tr>
      <w:tr w:rsidR="004F00E4" w:rsidRPr="006870C3" w14:paraId="77C7B1F3" w14:textId="77777777" w:rsidTr="00530C0B">
        <w:trPr>
          <w:trHeight w:val="624"/>
          <w:jc w:val="center"/>
        </w:trPr>
        <w:tc>
          <w:tcPr>
            <w:tcW w:w="2551" w:type="dxa"/>
          </w:tcPr>
          <w:p w14:paraId="37152C2D" w14:textId="77777777" w:rsidR="004F00E4" w:rsidRPr="00A7340D" w:rsidRDefault="004F00E4" w:rsidP="00546648">
            <w:pPr>
              <w:rPr>
                <w:rFonts w:eastAsia="Times New Roman" w:cs="Arial"/>
                <w:szCs w:val="24"/>
                <w:u w:val="single"/>
                <w:lang w:eastAsia="de-DE"/>
              </w:rPr>
            </w:pPr>
            <w:r>
              <w:rPr>
                <w:rFonts w:cs="Arial"/>
                <w:szCs w:val="24"/>
                <w:u w:val="single"/>
              </w:rPr>
              <w:t>Analysieren:</w:t>
            </w:r>
          </w:p>
        </w:tc>
        <w:tc>
          <w:tcPr>
            <w:tcW w:w="5274" w:type="dxa"/>
          </w:tcPr>
          <w:p w14:paraId="424C8CEB" w14:textId="77777777" w:rsidR="004F00E4" w:rsidRPr="00A7340D" w:rsidRDefault="00F756D0" w:rsidP="00546648">
            <w:pPr>
              <w:rPr>
                <w:rFonts w:cs="Arial"/>
                <w:szCs w:val="24"/>
              </w:rPr>
            </w:pPr>
            <w:r>
              <w:t>Die Schülerinnen und Schüler klären ihre Stellung als Beschäftigte im öffentlichen Dienst und ihre Teilhabe als mündige und verantwortungsbewusste Bürgerinnen und Bürger am Gesellschafts- und Wirtschaftsleben.</w:t>
            </w:r>
          </w:p>
        </w:tc>
        <w:tc>
          <w:tcPr>
            <w:tcW w:w="4139" w:type="dxa"/>
          </w:tcPr>
          <w:p w14:paraId="0DC6F3A8" w14:textId="77777777" w:rsidR="004F00E4" w:rsidRDefault="004F00E4" w:rsidP="00546648">
            <w:pPr>
              <w:rPr>
                <w:rFonts w:cs="Arial"/>
                <w:szCs w:val="24"/>
              </w:rPr>
            </w:pPr>
            <w:r w:rsidRPr="00A7340D">
              <w:rPr>
                <w:rFonts w:cs="Arial"/>
                <w:szCs w:val="24"/>
              </w:rPr>
              <w:t>Die Schülerinnen und Schüle</w:t>
            </w:r>
            <w:r>
              <w:rPr>
                <w:rFonts w:cs="Arial"/>
                <w:szCs w:val="24"/>
              </w:rPr>
              <w:t>r</w:t>
            </w:r>
            <w:r w:rsidR="005E4DCC">
              <w:rPr>
                <w:rFonts w:cs="Arial"/>
                <w:szCs w:val="24"/>
              </w:rPr>
              <w:t xml:space="preserve"> </w:t>
            </w:r>
          </w:p>
          <w:p w14:paraId="247E372B" w14:textId="1E002503" w:rsidR="00315802" w:rsidRDefault="00BC28EC" w:rsidP="002329D7">
            <w:pPr>
              <w:pStyle w:val="Tabellenspiegelstrich"/>
            </w:pPr>
            <w:r>
              <w:t>beschreiben ihre Loyalitäts- und Neutralitätspflic</w:t>
            </w:r>
            <w:r w:rsidR="002329D7">
              <w:t>hten gegenüber Staat und Justiz</w:t>
            </w:r>
          </w:p>
          <w:p w14:paraId="2B86FF18" w14:textId="16BF4D9D" w:rsidR="00315802" w:rsidRPr="002329D7" w:rsidRDefault="00BC28EC" w:rsidP="002329D7">
            <w:pPr>
              <w:pStyle w:val="Tabellenspiegelstrich"/>
            </w:pPr>
            <w:r>
              <w:t>erläutern Möglichkeiten der Partizipation am Gesellschafts- und Wirtschaftsleben.</w:t>
            </w:r>
          </w:p>
        </w:tc>
        <w:tc>
          <w:tcPr>
            <w:tcW w:w="2608" w:type="dxa"/>
          </w:tcPr>
          <w:p w14:paraId="74F50B84" w14:textId="77777777" w:rsidR="004F00E4" w:rsidRPr="00A7340D" w:rsidRDefault="005373C4" w:rsidP="005373C4">
            <w:pPr>
              <w:rPr>
                <w:rFonts w:cs="Arial"/>
                <w:szCs w:val="24"/>
              </w:rPr>
            </w:pPr>
            <w:r>
              <w:rPr>
                <w:rFonts w:cs="Arial"/>
                <w:szCs w:val="24"/>
              </w:rPr>
              <w:t>Arbeit mit dem Gesetz</w:t>
            </w:r>
          </w:p>
        </w:tc>
      </w:tr>
      <w:tr w:rsidR="004F00E4" w:rsidRPr="006870C3" w14:paraId="155F2323" w14:textId="77777777" w:rsidTr="00530C0B">
        <w:trPr>
          <w:trHeight w:val="624"/>
          <w:jc w:val="center"/>
        </w:trPr>
        <w:tc>
          <w:tcPr>
            <w:tcW w:w="2551" w:type="dxa"/>
          </w:tcPr>
          <w:p w14:paraId="43029FCD" w14:textId="77777777" w:rsidR="004F00E4" w:rsidRPr="00A7340D" w:rsidRDefault="004F00E4" w:rsidP="00546648">
            <w:pPr>
              <w:rPr>
                <w:rFonts w:cs="Arial"/>
                <w:szCs w:val="24"/>
                <w:u w:val="single"/>
              </w:rPr>
            </w:pPr>
            <w:r w:rsidRPr="00A7340D">
              <w:rPr>
                <w:rFonts w:cs="Arial"/>
                <w:szCs w:val="24"/>
                <w:u w:val="single"/>
              </w:rPr>
              <w:t>Informieren</w:t>
            </w:r>
            <w:r>
              <w:rPr>
                <w:rFonts w:cs="Arial"/>
                <w:szCs w:val="24"/>
                <w:u w:val="single"/>
              </w:rPr>
              <w:t>:</w:t>
            </w:r>
          </w:p>
        </w:tc>
        <w:tc>
          <w:tcPr>
            <w:tcW w:w="5274" w:type="dxa"/>
          </w:tcPr>
          <w:p w14:paraId="56B9644C" w14:textId="77777777" w:rsidR="004F00E4" w:rsidRPr="00A7340D" w:rsidRDefault="00F756D0" w:rsidP="00546648">
            <w:pPr>
              <w:rPr>
                <w:rFonts w:cs="Arial"/>
                <w:szCs w:val="24"/>
              </w:rPr>
            </w:pPr>
            <w:r>
              <w:t>Die Schülerinnen und Schüler informieren sich über die Funktion des Staates als Arbeitgeber in der Gesamtwirtschaft und stellen einen Zusammenhang mit anderen volkswirtschaftlichen Akteuren her (Wirtschaftskreislauf, Wohlfahrtsindikatoren).</w:t>
            </w:r>
          </w:p>
        </w:tc>
        <w:tc>
          <w:tcPr>
            <w:tcW w:w="4139" w:type="dxa"/>
          </w:tcPr>
          <w:p w14:paraId="214995DF" w14:textId="111A72D8" w:rsidR="004F00E4" w:rsidRDefault="004F00E4" w:rsidP="00546648">
            <w:pPr>
              <w:rPr>
                <w:rFonts w:cs="Arial"/>
                <w:szCs w:val="24"/>
              </w:rPr>
            </w:pPr>
            <w:r w:rsidRPr="00A7340D">
              <w:rPr>
                <w:rFonts w:cs="Arial"/>
                <w:szCs w:val="24"/>
              </w:rPr>
              <w:t>Die Schülerinnen und Schüle</w:t>
            </w:r>
            <w:r>
              <w:rPr>
                <w:rFonts w:cs="Arial"/>
                <w:szCs w:val="24"/>
              </w:rPr>
              <w:t>r</w:t>
            </w:r>
          </w:p>
          <w:p w14:paraId="1F0752D2" w14:textId="72BE2482" w:rsidR="00BC28EC" w:rsidRDefault="00BC28EC" w:rsidP="002329D7">
            <w:pPr>
              <w:pStyle w:val="Tabellenspiegelstrich"/>
            </w:pPr>
            <w:r>
              <w:t>besch</w:t>
            </w:r>
            <w:r w:rsidR="001B482C">
              <w:t>reiben unterschiedliche Wirtschaftskreisläufe</w:t>
            </w:r>
          </w:p>
          <w:p w14:paraId="77010EB6" w14:textId="77777777" w:rsidR="001B482C" w:rsidRDefault="001B482C" w:rsidP="002329D7">
            <w:pPr>
              <w:pStyle w:val="Tabellenspiegelstrich"/>
            </w:pPr>
            <w:r>
              <w:t>ermitteln auf der Grundlage des Wirtschaftskreislaufes das BIP</w:t>
            </w:r>
          </w:p>
          <w:p w14:paraId="7E9E66CE" w14:textId="1C0B6CCC" w:rsidR="001B482C" w:rsidRDefault="001B482C" w:rsidP="002329D7">
            <w:pPr>
              <w:pStyle w:val="Tabellenspiegelstrich"/>
            </w:pPr>
            <w:r>
              <w:t>hinterfragen die Entwicklung der Staatsquote</w:t>
            </w:r>
          </w:p>
          <w:p w14:paraId="1DDAF56F" w14:textId="7051B8B5" w:rsidR="001B482C" w:rsidRPr="001B482C" w:rsidRDefault="001B482C" w:rsidP="002329D7">
            <w:pPr>
              <w:pStyle w:val="Tabellenspiegelstrich"/>
            </w:pPr>
            <w:r>
              <w:t>unterscheiden verschiedene Wohlfahrtsindikatoren und beurteilen deren Aussagekraft</w:t>
            </w:r>
            <w:r w:rsidR="005A6538">
              <w:t>.</w:t>
            </w:r>
          </w:p>
        </w:tc>
        <w:tc>
          <w:tcPr>
            <w:tcW w:w="2608" w:type="dxa"/>
          </w:tcPr>
          <w:p w14:paraId="74065BE4" w14:textId="77777777" w:rsidR="004F00E4" w:rsidRDefault="005373C4" w:rsidP="00546648">
            <w:pPr>
              <w:rPr>
                <w:rFonts w:cs="Arial"/>
                <w:szCs w:val="24"/>
              </w:rPr>
            </w:pPr>
            <w:r>
              <w:rPr>
                <w:rFonts w:cs="Arial"/>
                <w:szCs w:val="24"/>
              </w:rPr>
              <w:t>Internetrecherche,</w:t>
            </w:r>
          </w:p>
          <w:p w14:paraId="33003F5A" w14:textId="77777777" w:rsidR="005373C4" w:rsidRDefault="005373C4" w:rsidP="00546648">
            <w:pPr>
              <w:rPr>
                <w:rFonts w:cs="Arial"/>
                <w:szCs w:val="24"/>
              </w:rPr>
            </w:pPr>
            <w:r>
              <w:rPr>
                <w:rFonts w:cs="Arial"/>
                <w:szCs w:val="24"/>
              </w:rPr>
              <w:t>Anwendung der Fachsprache</w:t>
            </w:r>
          </w:p>
          <w:p w14:paraId="2B8B2D8C" w14:textId="77777777" w:rsidR="005373C4" w:rsidRPr="00A7340D" w:rsidRDefault="005373C4" w:rsidP="00546648">
            <w:pPr>
              <w:rPr>
                <w:rFonts w:cs="Arial"/>
                <w:szCs w:val="24"/>
              </w:rPr>
            </w:pPr>
            <w:r>
              <w:rPr>
                <w:rFonts w:cs="Arial"/>
                <w:szCs w:val="24"/>
              </w:rPr>
              <w:t>ggf. Fremdsprache</w:t>
            </w:r>
          </w:p>
        </w:tc>
      </w:tr>
      <w:tr w:rsidR="004F00E4" w:rsidRPr="006870C3" w14:paraId="5285F881" w14:textId="77777777" w:rsidTr="002329D7">
        <w:trPr>
          <w:cantSplit/>
          <w:trHeight w:val="624"/>
          <w:jc w:val="center"/>
        </w:trPr>
        <w:tc>
          <w:tcPr>
            <w:tcW w:w="2551" w:type="dxa"/>
          </w:tcPr>
          <w:p w14:paraId="7DD3AFEE" w14:textId="77777777" w:rsidR="004F00E4" w:rsidRPr="00A7340D" w:rsidRDefault="004F00E4" w:rsidP="00546648">
            <w:pPr>
              <w:rPr>
                <w:rFonts w:cs="Arial"/>
                <w:szCs w:val="24"/>
                <w:u w:val="single"/>
              </w:rPr>
            </w:pPr>
            <w:r>
              <w:rPr>
                <w:rFonts w:cs="Arial"/>
                <w:szCs w:val="24"/>
                <w:u w:val="single"/>
              </w:rPr>
              <w:lastRenderedPageBreak/>
              <w:t>Planen:</w:t>
            </w:r>
          </w:p>
        </w:tc>
        <w:tc>
          <w:tcPr>
            <w:tcW w:w="5274" w:type="dxa"/>
          </w:tcPr>
          <w:p w14:paraId="3D1142D5" w14:textId="0072DAC3" w:rsidR="004F00E4" w:rsidRPr="00A7340D" w:rsidRDefault="00F756D0" w:rsidP="002329D7">
            <w:pPr>
              <w:rPr>
                <w:rFonts w:cs="Arial"/>
                <w:szCs w:val="24"/>
              </w:rPr>
            </w:pPr>
            <w:r>
              <w:t>Die Schülerinnen und Schüler erstellen Vorschläge für nachhaltiges Handeln im eigenen Arbeitsbereich unter Berücksichtigung wirtschaftlicher, ökologischer und sozialer Zielkonflikte im Hinblick auf die Auswirkung auf die Bürgerinnen und Bürger. Sie dokumentieren ihre Ergebnisse mit</w:t>
            </w:r>
            <w:r w:rsidR="002329D7">
              <w:t>h</w:t>
            </w:r>
            <w:r>
              <w:t>ilfe digitaler Medien</w:t>
            </w:r>
          </w:p>
        </w:tc>
        <w:tc>
          <w:tcPr>
            <w:tcW w:w="4139" w:type="dxa"/>
          </w:tcPr>
          <w:p w14:paraId="5A3DCB81" w14:textId="295E7CCC" w:rsidR="004F00E4" w:rsidRDefault="004F00E4" w:rsidP="00546648">
            <w:pPr>
              <w:rPr>
                <w:rFonts w:cs="Arial"/>
                <w:szCs w:val="24"/>
              </w:rPr>
            </w:pPr>
            <w:r w:rsidRPr="00A7340D">
              <w:rPr>
                <w:rFonts w:cs="Arial"/>
                <w:szCs w:val="24"/>
              </w:rPr>
              <w:t>Die Schülerinnen und Schüle</w:t>
            </w:r>
            <w:r>
              <w:rPr>
                <w:rFonts w:cs="Arial"/>
                <w:szCs w:val="24"/>
              </w:rPr>
              <w:t>r</w:t>
            </w:r>
          </w:p>
          <w:p w14:paraId="0FB503CF" w14:textId="3A3A975F" w:rsidR="001B482C" w:rsidRDefault="001B482C" w:rsidP="002329D7">
            <w:pPr>
              <w:pStyle w:val="Tabellenspiegelstrich"/>
            </w:pPr>
            <w:r>
              <w:t>entwickeln Ideen zur Nachhaltigkeit im Betrieb</w:t>
            </w:r>
          </w:p>
          <w:p w14:paraId="2E5FDDEA" w14:textId="3BEF8196" w:rsidR="001B482C" w:rsidRDefault="001B482C" w:rsidP="002329D7">
            <w:pPr>
              <w:pStyle w:val="Tabellenspiegelstrich"/>
            </w:pPr>
            <w:r>
              <w:t>reichen Vorschläge zur Optimierung der Nachhaltigkeit bei der JAV ein</w:t>
            </w:r>
          </w:p>
          <w:p w14:paraId="2ED118F3" w14:textId="7D603714" w:rsidR="001B482C" w:rsidRPr="00A7340D" w:rsidRDefault="001B482C" w:rsidP="002329D7">
            <w:pPr>
              <w:pStyle w:val="Tabellenspiegelstrich"/>
            </w:pPr>
            <w:r>
              <w:t>erkennen bei den Vorschlägen mögliche Zielkonflikte, Zielharmonien und indifferente Ziele</w:t>
            </w:r>
            <w:r w:rsidR="005A6538">
              <w:t>.</w:t>
            </w:r>
          </w:p>
        </w:tc>
        <w:tc>
          <w:tcPr>
            <w:tcW w:w="2608" w:type="dxa"/>
          </w:tcPr>
          <w:p w14:paraId="26B6EBEF" w14:textId="77777777" w:rsidR="004F00E4" w:rsidRPr="00A7340D" w:rsidRDefault="005373C4" w:rsidP="00546648">
            <w:pPr>
              <w:rPr>
                <w:rFonts w:cs="Arial"/>
                <w:szCs w:val="24"/>
              </w:rPr>
            </w:pPr>
            <w:r>
              <w:rPr>
                <w:rFonts w:cs="Arial"/>
                <w:szCs w:val="24"/>
              </w:rPr>
              <w:t>Präsentationssoftware</w:t>
            </w:r>
          </w:p>
        </w:tc>
      </w:tr>
      <w:tr w:rsidR="00530C0B" w:rsidRPr="006870C3" w14:paraId="74CCA084" w14:textId="77777777" w:rsidTr="00530C0B">
        <w:trPr>
          <w:trHeight w:val="624"/>
          <w:jc w:val="center"/>
        </w:trPr>
        <w:tc>
          <w:tcPr>
            <w:tcW w:w="2551" w:type="dxa"/>
          </w:tcPr>
          <w:p w14:paraId="789B4E0B" w14:textId="77777777" w:rsidR="00530C0B" w:rsidRPr="00A7340D" w:rsidRDefault="00530C0B" w:rsidP="00530C0B">
            <w:pPr>
              <w:rPr>
                <w:rFonts w:eastAsia="Times New Roman" w:cs="Arial"/>
                <w:szCs w:val="24"/>
                <w:u w:val="single"/>
                <w:lang w:eastAsia="de-DE"/>
              </w:rPr>
            </w:pPr>
            <w:r>
              <w:rPr>
                <w:rFonts w:cs="Arial"/>
                <w:szCs w:val="24"/>
                <w:u w:val="single"/>
              </w:rPr>
              <w:t>Entscheiden:</w:t>
            </w:r>
          </w:p>
        </w:tc>
        <w:tc>
          <w:tcPr>
            <w:tcW w:w="5274" w:type="dxa"/>
          </w:tcPr>
          <w:p w14:paraId="790DEC63" w14:textId="16D2FA32" w:rsidR="00530C0B" w:rsidRPr="00A7340D" w:rsidRDefault="002329D7" w:rsidP="00530C0B">
            <w:pPr>
              <w:rPr>
                <w:rFonts w:cs="Arial"/>
                <w:szCs w:val="24"/>
              </w:rPr>
            </w:pPr>
            <w:r>
              <w:rPr>
                <w:rFonts w:cs="Arial"/>
                <w:szCs w:val="24"/>
              </w:rPr>
              <w:t>… </w:t>
            </w:r>
            <w:r w:rsidR="00530C0B">
              <w:rPr>
                <w:rFonts w:cs="Arial"/>
                <w:szCs w:val="24"/>
              </w:rPr>
              <w:t>und entscheiden begründet für einen der erarbeiteten Vorschläge.</w:t>
            </w:r>
          </w:p>
        </w:tc>
        <w:tc>
          <w:tcPr>
            <w:tcW w:w="4139" w:type="dxa"/>
          </w:tcPr>
          <w:p w14:paraId="7A04F10F" w14:textId="25F6A4D3" w:rsidR="00530C0B" w:rsidRPr="00A7340D" w:rsidRDefault="00530C0B" w:rsidP="002329D7">
            <w:pPr>
              <w:rPr>
                <w:rFonts w:cs="Arial"/>
                <w:szCs w:val="24"/>
              </w:rPr>
            </w:pPr>
            <w:r>
              <w:rPr>
                <w:rFonts w:cs="Arial"/>
                <w:szCs w:val="24"/>
              </w:rPr>
              <w:t>Di</w:t>
            </w:r>
            <w:r w:rsidRPr="00A7340D">
              <w:rPr>
                <w:rFonts w:cs="Arial"/>
                <w:szCs w:val="24"/>
              </w:rPr>
              <w:t>e Schülerinnen und Schüle</w:t>
            </w:r>
            <w:r>
              <w:rPr>
                <w:rFonts w:cs="Arial"/>
                <w:szCs w:val="24"/>
              </w:rPr>
              <w:t xml:space="preserve">r </w:t>
            </w:r>
            <w:r w:rsidR="005373C4">
              <w:rPr>
                <w:rFonts w:cs="Arial"/>
                <w:szCs w:val="24"/>
              </w:rPr>
              <w:t>e</w:t>
            </w:r>
            <w:r>
              <w:rPr>
                <w:rFonts w:cs="Arial"/>
                <w:szCs w:val="24"/>
              </w:rPr>
              <w:t xml:space="preserve">ntscheiden sich </w:t>
            </w:r>
            <w:r w:rsidR="005373C4">
              <w:rPr>
                <w:rFonts w:cs="Arial"/>
                <w:szCs w:val="24"/>
              </w:rPr>
              <w:t xml:space="preserve">aus der Perspektive der JAV </w:t>
            </w:r>
            <w:r>
              <w:rPr>
                <w:rFonts w:cs="Arial"/>
                <w:szCs w:val="24"/>
              </w:rPr>
              <w:t>für einen der erarbeiteten Vorschläge.</w:t>
            </w:r>
          </w:p>
        </w:tc>
        <w:tc>
          <w:tcPr>
            <w:tcW w:w="2608" w:type="dxa"/>
          </w:tcPr>
          <w:p w14:paraId="2AA0C5AF" w14:textId="77777777" w:rsidR="00530C0B" w:rsidRPr="00A7340D" w:rsidRDefault="005373C4" w:rsidP="00530C0B">
            <w:pPr>
              <w:rPr>
                <w:rFonts w:cs="Arial"/>
                <w:szCs w:val="24"/>
              </w:rPr>
            </w:pPr>
            <w:r>
              <w:rPr>
                <w:rFonts w:cs="Arial"/>
                <w:szCs w:val="24"/>
              </w:rPr>
              <w:t>Textverarbeitungssoft-ware</w:t>
            </w:r>
          </w:p>
        </w:tc>
      </w:tr>
      <w:tr w:rsidR="00530C0B" w:rsidRPr="006870C3" w14:paraId="1CDE1CA7" w14:textId="77777777" w:rsidTr="00530C0B">
        <w:trPr>
          <w:trHeight w:val="624"/>
          <w:jc w:val="center"/>
        </w:trPr>
        <w:tc>
          <w:tcPr>
            <w:tcW w:w="2551" w:type="dxa"/>
          </w:tcPr>
          <w:p w14:paraId="6936CEE7" w14:textId="77777777" w:rsidR="00530C0B" w:rsidRPr="00A7340D" w:rsidRDefault="00530C0B" w:rsidP="00530C0B">
            <w:pPr>
              <w:rPr>
                <w:rFonts w:eastAsia="Times New Roman" w:cs="Arial"/>
                <w:szCs w:val="24"/>
                <w:u w:val="single"/>
                <w:lang w:eastAsia="de-DE"/>
              </w:rPr>
            </w:pPr>
            <w:r>
              <w:rPr>
                <w:rFonts w:cs="Arial"/>
                <w:szCs w:val="24"/>
                <w:u w:val="single"/>
              </w:rPr>
              <w:t>Durch</w:t>
            </w:r>
            <w:r w:rsidRPr="00A7340D">
              <w:rPr>
                <w:rFonts w:cs="Arial"/>
                <w:szCs w:val="24"/>
                <w:u w:val="single"/>
              </w:rPr>
              <w:t>führen</w:t>
            </w:r>
            <w:r>
              <w:rPr>
                <w:rFonts w:cs="Arial"/>
                <w:szCs w:val="24"/>
                <w:u w:val="single"/>
              </w:rPr>
              <w:t>:</w:t>
            </w:r>
          </w:p>
        </w:tc>
        <w:tc>
          <w:tcPr>
            <w:tcW w:w="5274" w:type="dxa"/>
          </w:tcPr>
          <w:p w14:paraId="76AC63EF" w14:textId="77777777" w:rsidR="00530C0B" w:rsidRPr="00A7340D" w:rsidRDefault="00530C0B" w:rsidP="00530C0B">
            <w:pPr>
              <w:rPr>
                <w:rFonts w:cs="Arial"/>
                <w:szCs w:val="24"/>
              </w:rPr>
            </w:pPr>
            <w:r>
              <w:t>Die Schülerinnen und Schüler wirken bei der Gestaltung von Arbeitsprozessen in der Behörde mit und beachten dabei eine positive Kommunikations- und Feedbackkultur.</w:t>
            </w:r>
          </w:p>
        </w:tc>
        <w:tc>
          <w:tcPr>
            <w:tcW w:w="4139" w:type="dxa"/>
          </w:tcPr>
          <w:p w14:paraId="4E82B6DE" w14:textId="5B2BB310" w:rsidR="00530C0B" w:rsidRDefault="002329D7" w:rsidP="00530C0B">
            <w:pPr>
              <w:pStyle w:val="Listenabsatz"/>
              <w:ind w:left="284"/>
              <w:rPr>
                <w:rFonts w:cs="Arial"/>
                <w:szCs w:val="24"/>
              </w:rPr>
            </w:pPr>
            <w:r>
              <w:rPr>
                <w:rFonts w:cs="Arial"/>
                <w:szCs w:val="24"/>
              </w:rPr>
              <w:t>Die Schülerinnen und Schüler</w:t>
            </w:r>
          </w:p>
          <w:p w14:paraId="07AE43FC" w14:textId="2817E690" w:rsidR="00530C0B" w:rsidRDefault="00530C0B" w:rsidP="002329D7">
            <w:pPr>
              <w:pStyle w:val="Tabellenspiegelstrich"/>
            </w:pPr>
            <w:r>
              <w:t>versuchen diese Maßnahme in ihren eigenen D</w:t>
            </w:r>
            <w:r w:rsidR="002329D7">
              <w:t>ienststellen zu implementieren</w:t>
            </w:r>
          </w:p>
          <w:p w14:paraId="4372CC26" w14:textId="77777777" w:rsidR="00530C0B" w:rsidRPr="00A7340D" w:rsidRDefault="00530C0B" w:rsidP="002329D7">
            <w:pPr>
              <w:pStyle w:val="Tabellenspiegelstrich"/>
            </w:pPr>
            <w:r>
              <w:t>beachten vorher aufgestellte Regeln zur Kommunikations- und Feedbackkultur.</w:t>
            </w:r>
          </w:p>
        </w:tc>
        <w:tc>
          <w:tcPr>
            <w:tcW w:w="2608" w:type="dxa"/>
          </w:tcPr>
          <w:p w14:paraId="260EB116" w14:textId="77777777" w:rsidR="00530C0B" w:rsidRDefault="005373C4" w:rsidP="00530C0B">
            <w:pPr>
              <w:rPr>
                <w:rFonts w:cs="Arial"/>
                <w:szCs w:val="24"/>
              </w:rPr>
            </w:pPr>
            <w:r>
              <w:rPr>
                <w:rFonts w:cs="Arial"/>
                <w:szCs w:val="24"/>
              </w:rPr>
              <w:t>Lernortkooperation</w:t>
            </w:r>
          </w:p>
          <w:p w14:paraId="1CAC6652" w14:textId="77777777" w:rsidR="005373C4" w:rsidRPr="00A7340D" w:rsidRDefault="005373C4" w:rsidP="00530C0B">
            <w:pPr>
              <w:rPr>
                <w:rFonts w:cs="Arial"/>
                <w:szCs w:val="24"/>
              </w:rPr>
            </w:pPr>
            <w:r>
              <w:rPr>
                <w:rFonts w:cs="Arial"/>
                <w:szCs w:val="24"/>
              </w:rPr>
              <w:t>Feedbackbogen</w:t>
            </w:r>
          </w:p>
        </w:tc>
      </w:tr>
      <w:tr w:rsidR="00530C0B" w:rsidRPr="006870C3" w14:paraId="35F5E352" w14:textId="77777777" w:rsidTr="00530C0B">
        <w:trPr>
          <w:trHeight w:val="624"/>
          <w:jc w:val="center"/>
        </w:trPr>
        <w:tc>
          <w:tcPr>
            <w:tcW w:w="2551" w:type="dxa"/>
          </w:tcPr>
          <w:p w14:paraId="0FFDE360" w14:textId="77777777" w:rsidR="00530C0B" w:rsidRPr="00A7340D" w:rsidRDefault="00530C0B" w:rsidP="00530C0B">
            <w:pPr>
              <w:rPr>
                <w:rFonts w:eastAsia="Times New Roman" w:cs="Arial"/>
                <w:szCs w:val="24"/>
                <w:u w:val="single"/>
                <w:lang w:eastAsia="de-DE"/>
              </w:rPr>
            </w:pPr>
            <w:r w:rsidRPr="00A7340D">
              <w:rPr>
                <w:rFonts w:cs="Arial"/>
                <w:szCs w:val="24"/>
                <w:u w:val="single"/>
              </w:rPr>
              <w:t>Kontrollieren</w:t>
            </w:r>
            <w:r>
              <w:rPr>
                <w:rFonts w:cs="Arial"/>
                <w:szCs w:val="24"/>
                <w:u w:val="single"/>
              </w:rPr>
              <w:t>:</w:t>
            </w:r>
          </w:p>
        </w:tc>
        <w:tc>
          <w:tcPr>
            <w:tcW w:w="5274" w:type="dxa"/>
          </w:tcPr>
          <w:p w14:paraId="1A088FE7" w14:textId="77777777" w:rsidR="00530C0B" w:rsidRPr="00A7340D" w:rsidRDefault="00530C0B" w:rsidP="00530C0B">
            <w:pPr>
              <w:rPr>
                <w:rFonts w:cs="Arial"/>
                <w:szCs w:val="24"/>
              </w:rPr>
            </w:pPr>
            <w:r>
              <w:t xml:space="preserve">Die Schülerinnen und Schüler untersuchen die Auswirkungen der gesamtwirtschaftlichen und sozioökonomischen Entwicklungen auf ihr Arbeitsumfeld (Konjunkturzyklus, Arbeitsmarkt, Inflation, Nachhaltigkeitsziele) und prüfen vor diesem Hintergrund eigene Handlungsmöglichkeiten. </w:t>
            </w:r>
          </w:p>
        </w:tc>
        <w:tc>
          <w:tcPr>
            <w:tcW w:w="4139" w:type="dxa"/>
          </w:tcPr>
          <w:p w14:paraId="558542F8" w14:textId="1301394E" w:rsidR="00530C0B" w:rsidRDefault="002329D7" w:rsidP="00530C0B">
            <w:pPr>
              <w:rPr>
                <w:rFonts w:cs="Arial"/>
                <w:szCs w:val="24"/>
              </w:rPr>
            </w:pPr>
            <w:r>
              <w:rPr>
                <w:rFonts w:cs="Arial"/>
                <w:szCs w:val="24"/>
              </w:rPr>
              <w:t>Die Schülerinnen und Schüler</w:t>
            </w:r>
          </w:p>
          <w:p w14:paraId="74670AD1" w14:textId="178DA961" w:rsidR="00530C0B" w:rsidRDefault="00530C0B" w:rsidP="002329D7">
            <w:pPr>
              <w:pStyle w:val="Tabellenspiegelstrich"/>
            </w:pPr>
            <w:r>
              <w:t>analysieren und verstehen den Konjunkturzyklus</w:t>
            </w:r>
          </w:p>
          <w:p w14:paraId="3016F541" w14:textId="77777777" w:rsidR="00530C0B" w:rsidRPr="00A7340D" w:rsidRDefault="00530C0B" w:rsidP="002329D7">
            <w:pPr>
              <w:pStyle w:val="Tabellenspiegelstrich"/>
            </w:pPr>
            <w:r>
              <w:t>sie erkennen Interdependenzen zwischen Konjunkturzyklus, Arbeitsmarkt, Preisstabilität und Nachhaltigkeitsziele</w:t>
            </w:r>
            <w:r w:rsidR="007D60F7">
              <w:t>.</w:t>
            </w:r>
          </w:p>
        </w:tc>
        <w:tc>
          <w:tcPr>
            <w:tcW w:w="2608" w:type="dxa"/>
          </w:tcPr>
          <w:p w14:paraId="7BCB85DE" w14:textId="77777777" w:rsidR="00530C0B" w:rsidRDefault="005373C4" w:rsidP="00530C0B">
            <w:pPr>
              <w:rPr>
                <w:rFonts w:cs="Arial"/>
                <w:szCs w:val="24"/>
              </w:rPr>
            </w:pPr>
            <w:r>
              <w:rPr>
                <w:rFonts w:cs="Arial"/>
                <w:szCs w:val="24"/>
              </w:rPr>
              <w:t>Fachsprache</w:t>
            </w:r>
          </w:p>
          <w:p w14:paraId="49DB8BE3" w14:textId="77777777" w:rsidR="008B442B" w:rsidRDefault="008B442B" w:rsidP="00530C0B">
            <w:pPr>
              <w:rPr>
                <w:rFonts w:cs="Arial"/>
                <w:szCs w:val="24"/>
              </w:rPr>
            </w:pPr>
            <w:r>
              <w:rPr>
                <w:rFonts w:cs="Arial"/>
                <w:szCs w:val="24"/>
              </w:rPr>
              <w:t>Internetrecherche</w:t>
            </w:r>
          </w:p>
          <w:p w14:paraId="06924F39" w14:textId="77777777" w:rsidR="008B442B" w:rsidRPr="00A7340D" w:rsidRDefault="008B442B" w:rsidP="00530C0B">
            <w:pPr>
              <w:rPr>
                <w:rFonts w:cs="Arial"/>
                <w:szCs w:val="24"/>
              </w:rPr>
            </w:pPr>
            <w:r>
              <w:rPr>
                <w:rFonts w:cs="Arial"/>
                <w:szCs w:val="24"/>
              </w:rPr>
              <w:t>ggf. Einsatz von KI</w:t>
            </w:r>
          </w:p>
        </w:tc>
      </w:tr>
      <w:tr w:rsidR="00530C0B" w:rsidRPr="006870C3" w14:paraId="339C9569" w14:textId="77777777" w:rsidTr="002329D7">
        <w:trPr>
          <w:cantSplit/>
          <w:trHeight w:val="624"/>
          <w:jc w:val="center"/>
        </w:trPr>
        <w:tc>
          <w:tcPr>
            <w:tcW w:w="2551" w:type="dxa"/>
          </w:tcPr>
          <w:p w14:paraId="351EA1AC" w14:textId="77777777" w:rsidR="00530C0B" w:rsidRPr="00A7340D" w:rsidRDefault="00530C0B" w:rsidP="00530C0B">
            <w:pPr>
              <w:rPr>
                <w:rFonts w:eastAsia="Times New Roman" w:cs="Arial"/>
                <w:szCs w:val="24"/>
                <w:u w:val="single"/>
                <w:lang w:eastAsia="de-DE"/>
              </w:rPr>
            </w:pPr>
            <w:r>
              <w:rPr>
                <w:rFonts w:cs="Arial"/>
                <w:szCs w:val="24"/>
                <w:u w:val="single"/>
              </w:rPr>
              <w:lastRenderedPageBreak/>
              <w:t>Bewerten/Reflektieren:</w:t>
            </w:r>
          </w:p>
        </w:tc>
        <w:tc>
          <w:tcPr>
            <w:tcW w:w="5274" w:type="dxa"/>
          </w:tcPr>
          <w:p w14:paraId="732D1800" w14:textId="77777777" w:rsidR="00530C0B" w:rsidRPr="00A7340D" w:rsidRDefault="00530C0B" w:rsidP="00530C0B">
            <w:pPr>
              <w:rPr>
                <w:rFonts w:cs="Arial"/>
                <w:szCs w:val="24"/>
              </w:rPr>
            </w:pPr>
            <w:r>
              <w:t>Als Beschäftigte im öffentlichen Dienst beurteilen sie das gesamtwirtschaftl</w:t>
            </w:r>
            <w:r w:rsidR="007D60F7">
              <w:t>iche Gleichgewicht als eine Vor</w:t>
            </w:r>
            <w:r>
              <w:t>gabe staatlichen Handelns (Stabilitätsgesetz und qualitative Ziele).</w:t>
            </w:r>
          </w:p>
        </w:tc>
        <w:tc>
          <w:tcPr>
            <w:tcW w:w="4139" w:type="dxa"/>
          </w:tcPr>
          <w:p w14:paraId="23FEB402" w14:textId="29060CC3" w:rsidR="007D60F7" w:rsidRDefault="00530C0B" w:rsidP="00530C0B">
            <w:pPr>
              <w:rPr>
                <w:rFonts w:cs="Arial"/>
                <w:szCs w:val="24"/>
              </w:rPr>
            </w:pPr>
            <w:r w:rsidRPr="00A7340D">
              <w:rPr>
                <w:rFonts w:cs="Arial"/>
                <w:szCs w:val="24"/>
              </w:rPr>
              <w:t>Die Schülerinnen und Schüler</w:t>
            </w:r>
          </w:p>
          <w:p w14:paraId="7D4C7BE0" w14:textId="72739BB9" w:rsidR="00530C0B" w:rsidRDefault="00530C0B" w:rsidP="002329D7">
            <w:pPr>
              <w:pStyle w:val="Tabellenspiegelstrich"/>
            </w:pPr>
            <w:r w:rsidRPr="00A7340D">
              <w:t xml:space="preserve"> </w:t>
            </w:r>
            <w:r w:rsidR="007D60F7">
              <w:t>beurteilen die Notwendigkeit staatlicher Vorgaben zur Erfüllung von wirtschaftlicher Stabilität und Wachstum</w:t>
            </w:r>
          </w:p>
          <w:p w14:paraId="7A3947B1" w14:textId="6842C543" w:rsidR="007D60F7" w:rsidRDefault="007D60F7" w:rsidP="002329D7">
            <w:pPr>
              <w:pStyle w:val="Tabellenspiegelstrich"/>
            </w:pPr>
            <w:r>
              <w:t>ergänzen die Vorgaben des Stabilitätsgesetzes um qualitative Ziele</w:t>
            </w:r>
            <w:bookmarkStart w:id="0" w:name="_GoBack"/>
            <w:bookmarkEnd w:id="0"/>
          </w:p>
          <w:p w14:paraId="0280534E" w14:textId="52FBA9E7" w:rsidR="007D60F7" w:rsidRPr="007D60F7" w:rsidRDefault="007D60F7" w:rsidP="002329D7">
            <w:pPr>
              <w:pStyle w:val="Tabellenspiegelstrich"/>
            </w:pPr>
            <w:r>
              <w:t xml:space="preserve">bewerten die Bedeutung </w:t>
            </w:r>
            <w:r w:rsidR="00984ECF">
              <w:t xml:space="preserve">dieser Ziele </w:t>
            </w:r>
            <w:r>
              <w:t xml:space="preserve">für </w:t>
            </w:r>
            <w:r w:rsidR="008B442B">
              <w:t xml:space="preserve">den </w:t>
            </w:r>
            <w:r w:rsidRPr="007D60F7">
              <w:t>öffentlichen Dienst</w:t>
            </w:r>
            <w:r w:rsidR="005A6538">
              <w:t>.</w:t>
            </w:r>
          </w:p>
        </w:tc>
        <w:tc>
          <w:tcPr>
            <w:tcW w:w="2608" w:type="dxa"/>
          </w:tcPr>
          <w:p w14:paraId="10089082" w14:textId="1182C3EB" w:rsidR="00530C0B" w:rsidRPr="00A7340D" w:rsidRDefault="008B442B" w:rsidP="002329D7">
            <w:pPr>
              <w:rPr>
                <w:rFonts w:cs="Arial"/>
                <w:szCs w:val="24"/>
              </w:rPr>
            </w:pPr>
            <w:r>
              <w:rPr>
                <w:rFonts w:cs="Arial"/>
                <w:szCs w:val="24"/>
              </w:rPr>
              <w:t>Visualisierungssoftware</w:t>
            </w:r>
          </w:p>
        </w:tc>
      </w:tr>
    </w:tbl>
    <w:p w14:paraId="191CA0E2" w14:textId="77777777" w:rsidR="00E101B0" w:rsidRPr="005C4A85" w:rsidRDefault="00E101B0" w:rsidP="00546648"/>
    <w:sectPr w:rsidR="00E101B0" w:rsidRPr="005C4A85" w:rsidSect="00082C6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026AE" w14:textId="77777777" w:rsidR="00085EFD" w:rsidRDefault="00085EFD" w:rsidP="006870C3">
      <w:r>
        <w:separator/>
      </w:r>
    </w:p>
  </w:endnote>
  <w:endnote w:type="continuationSeparator" w:id="0">
    <w:p w14:paraId="2DF45E80" w14:textId="77777777" w:rsidR="00085EFD" w:rsidRDefault="00085EFD"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D6AB" w14:textId="77777777" w:rsidR="00854062" w:rsidRDefault="008540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90C6" w14:textId="76A1E757"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001708F8" w:rsidRPr="004A0101">
      <w:rPr>
        <w:rFonts w:eastAsia="Calibri" w:cs="Times New Roman"/>
        <w:bCs/>
        <w:sz w:val="20"/>
      </w:rPr>
      <w:fldChar w:fldCharType="begin"/>
    </w:r>
    <w:r w:rsidRPr="004A0101">
      <w:rPr>
        <w:rFonts w:eastAsia="Calibri" w:cs="Times New Roman"/>
        <w:bCs/>
        <w:sz w:val="20"/>
      </w:rPr>
      <w:instrText>PAGE  \* Arabic  \* MERGEFORMAT</w:instrText>
    </w:r>
    <w:r w:rsidR="001708F8" w:rsidRPr="004A0101">
      <w:rPr>
        <w:rFonts w:eastAsia="Calibri" w:cs="Times New Roman"/>
        <w:bCs/>
        <w:sz w:val="20"/>
      </w:rPr>
      <w:fldChar w:fldCharType="separate"/>
    </w:r>
    <w:r w:rsidR="00314BD8">
      <w:rPr>
        <w:rFonts w:eastAsia="Calibri" w:cs="Times New Roman"/>
        <w:bCs/>
        <w:noProof/>
        <w:sz w:val="20"/>
      </w:rPr>
      <w:t>3</w:t>
    </w:r>
    <w:r w:rsidR="001708F8" w:rsidRPr="004A0101">
      <w:rPr>
        <w:rFonts w:eastAsia="Calibri" w:cs="Times New Roman"/>
        <w:bCs/>
        <w:sz w:val="20"/>
      </w:rPr>
      <w:fldChar w:fldCharType="end"/>
    </w:r>
    <w:r w:rsidRPr="004A0101">
      <w:rPr>
        <w:rFonts w:eastAsia="Calibri" w:cs="Times New Roman"/>
        <w:sz w:val="20"/>
      </w:rPr>
      <w:t xml:space="preserve"> von </w:t>
    </w:r>
    <w:r w:rsidR="00314BD8">
      <w:fldChar w:fldCharType="begin"/>
    </w:r>
    <w:r w:rsidR="00314BD8">
      <w:instrText>NUMPAGES  \* Arabic  \* MERGEFORMAT</w:instrText>
    </w:r>
    <w:r w:rsidR="00314BD8">
      <w:fldChar w:fldCharType="separate"/>
    </w:r>
    <w:r w:rsidR="00314BD8" w:rsidRPr="00314BD8">
      <w:rPr>
        <w:rFonts w:eastAsia="Calibri" w:cs="Times New Roman"/>
        <w:bCs/>
        <w:noProof/>
        <w:sz w:val="20"/>
      </w:rPr>
      <w:t>3</w:t>
    </w:r>
    <w:r w:rsidR="00314BD8">
      <w:rPr>
        <w:rFonts w:eastAsia="Calibri" w:cs="Times New Roman"/>
        <w:bCs/>
        <w:noProof/>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2B2B82EA" wp14:editId="3F4A1077">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1708F8" w:rsidRPr="004A0101">
      <w:rPr>
        <w:rFonts w:eastAsia="Calibri" w:cs="Arial"/>
        <w:sz w:val="20"/>
        <w:szCs w:val="20"/>
      </w:rPr>
      <w:fldChar w:fldCharType="begin"/>
    </w:r>
    <w:r w:rsidR="001708F8" w:rsidRPr="004A0101">
      <w:rPr>
        <w:rFonts w:eastAsia="Calibri" w:cs="Arial"/>
        <w:sz w:val="20"/>
        <w:szCs w:val="20"/>
      </w:rPr>
      <w:fldChar w:fldCharType="begin"/>
    </w:r>
    <w:r w:rsidRPr="004A0101">
      <w:rPr>
        <w:rFonts w:eastAsia="Calibri" w:cs="Arial"/>
        <w:sz w:val="20"/>
        <w:szCs w:val="20"/>
      </w:rPr>
      <w:instrText xml:space="preserve"> page </w:instrText>
    </w:r>
    <w:r w:rsidR="001708F8" w:rsidRPr="004A0101">
      <w:rPr>
        <w:rFonts w:eastAsia="Calibri" w:cs="Arial"/>
        <w:sz w:val="20"/>
        <w:szCs w:val="20"/>
      </w:rPr>
      <w:fldChar w:fldCharType="separate"/>
    </w:r>
    <w:r w:rsidR="00314BD8">
      <w:rPr>
        <w:rFonts w:eastAsia="Calibri" w:cs="Arial"/>
        <w:noProof/>
        <w:sz w:val="20"/>
        <w:szCs w:val="20"/>
      </w:rPr>
      <w:instrText>3</w:instrText>
    </w:r>
    <w:r w:rsidR="001708F8" w:rsidRPr="004A0101">
      <w:rPr>
        <w:rFonts w:eastAsia="Calibri" w:cs="Arial"/>
        <w:sz w:val="20"/>
        <w:szCs w:val="20"/>
      </w:rPr>
      <w:fldChar w:fldCharType="end"/>
    </w:r>
    <w:r w:rsidR="001708F8"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3372" w14:textId="77777777" w:rsidR="00854062" w:rsidRDefault="008540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4B95E" w14:textId="77777777" w:rsidR="00085EFD" w:rsidRDefault="00085EFD" w:rsidP="006870C3">
      <w:r>
        <w:separator/>
      </w:r>
    </w:p>
  </w:footnote>
  <w:footnote w:type="continuationSeparator" w:id="0">
    <w:p w14:paraId="177542DC" w14:textId="77777777" w:rsidR="00085EFD" w:rsidRDefault="00085EFD" w:rsidP="006870C3">
      <w:r>
        <w:continuationSeparator/>
      </w:r>
    </w:p>
  </w:footnote>
  <w:footnote w:id="1">
    <w:p w14:paraId="17668DAF"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54562DFE"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F917" w14:textId="77777777" w:rsidR="00854062" w:rsidRDefault="008540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2DC9" w14:textId="77777777" w:rsidR="00725431" w:rsidRPr="00725431" w:rsidRDefault="008A7800">
    <w:pPr>
      <w:pStyle w:val="Kopfzeile"/>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5E58" w14:textId="77777777" w:rsidR="00854062" w:rsidRDefault="008540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826364"/>
    <w:multiLevelType w:val="hybridMultilevel"/>
    <w:tmpl w:val="B5E233D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7"/>
  </w:num>
  <w:num w:numId="6">
    <w:abstractNumId w:val="1"/>
  </w:num>
  <w:num w:numId="7">
    <w:abstractNumId w:val="6"/>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SortMethod w:val="0000"/>
  <w:defaultTabStop w:val="709"/>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2C61"/>
    <w:rsid w:val="00085EFD"/>
    <w:rsid w:val="000A456D"/>
    <w:rsid w:val="000B591E"/>
    <w:rsid w:val="000D30BA"/>
    <w:rsid w:val="000F026C"/>
    <w:rsid w:val="00114A45"/>
    <w:rsid w:val="001477B5"/>
    <w:rsid w:val="001708F8"/>
    <w:rsid w:val="001B482C"/>
    <w:rsid w:val="001B74DE"/>
    <w:rsid w:val="00202437"/>
    <w:rsid w:val="002329D7"/>
    <w:rsid w:val="00236215"/>
    <w:rsid w:val="00253A04"/>
    <w:rsid w:val="00295EA8"/>
    <w:rsid w:val="002A5306"/>
    <w:rsid w:val="00302EAB"/>
    <w:rsid w:val="00314BD8"/>
    <w:rsid w:val="00315802"/>
    <w:rsid w:val="00327B4E"/>
    <w:rsid w:val="003311D0"/>
    <w:rsid w:val="00332868"/>
    <w:rsid w:val="0034085C"/>
    <w:rsid w:val="00392AF9"/>
    <w:rsid w:val="0043200C"/>
    <w:rsid w:val="00435357"/>
    <w:rsid w:val="00440574"/>
    <w:rsid w:val="00492BBB"/>
    <w:rsid w:val="00497706"/>
    <w:rsid w:val="004A0101"/>
    <w:rsid w:val="004F00E4"/>
    <w:rsid w:val="00512DC4"/>
    <w:rsid w:val="00530C0B"/>
    <w:rsid w:val="005373C4"/>
    <w:rsid w:val="00546648"/>
    <w:rsid w:val="005621A1"/>
    <w:rsid w:val="00585686"/>
    <w:rsid w:val="0059289D"/>
    <w:rsid w:val="005A6538"/>
    <w:rsid w:val="005C4A85"/>
    <w:rsid w:val="005E4DCC"/>
    <w:rsid w:val="0060037B"/>
    <w:rsid w:val="006870C3"/>
    <w:rsid w:val="006C7499"/>
    <w:rsid w:val="006D7F43"/>
    <w:rsid w:val="006F329D"/>
    <w:rsid w:val="00725431"/>
    <w:rsid w:val="00795445"/>
    <w:rsid w:val="007C71E9"/>
    <w:rsid w:val="007D5E9F"/>
    <w:rsid w:val="007D60F7"/>
    <w:rsid w:val="00812F77"/>
    <w:rsid w:val="0082727A"/>
    <w:rsid w:val="00835FAC"/>
    <w:rsid w:val="00854062"/>
    <w:rsid w:val="00856CB0"/>
    <w:rsid w:val="008A5FBE"/>
    <w:rsid w:val="008A7800"/>
    <w:rsid w:val="008B442B"/>
    <w:rsid w:val="008C4A8C"/>
    <w:rsid w:val="008D1C35"/>
    <w:rsid w:val="008F0FFE"/>
    <w:rsid w:val="009304DF"/>
    <w:rsid w:val="009445DB"/>
    <w:rsid w:val="00953365"/>
    <w:rsid w:val="00980679"/>
    <w:rsid w:val="00984ECF"/>
    <w:rsid w:val="00994A60"/>
    <w:rsid w:val="0099685D"/>
    <w:rsid w:val="009A6771"/>
    <w:rsid w:val="009B6F94"/>
    <w:rsid w:val="009D6BCD"/>
    <w:rsid w:val="00A066CA"/>
    <w:rsid w:val="00A31A81"/>
    <w:rsid w:val="00A7340D"/>
    <w:rsid w:val="00AB613B"/>
    <w:rsid w:val="00AC4D32"/>
    <w:rsid w:val="00AC51A2"/>
    <w:rsid w:val="00AF7A6A"/>
    <w:rsid w:val="00B002DD"/>
    <w:rsid w:val="00B36A65"/>
    <w:rsid w:val="00B6082D"/>
    <w:rsid w:val="00BC0697"/>
    <w:rsid w:val="00BC28EC"/>
    <w:rsid w:val="00C910C0"/>
    <w:rsid w:val="00CA1099"/>
    <w:rsid w:val="00CB7B05"/>
    <w:rsid w:val="00CC0066"/>
    <w:rsid w:val="00CD1E4B"/>
    <w:rsid w:val="00D1406B"/>
    <w:rsid w:val="00D23C8F"/>
    <w:rsid w:val="00D463F9"/>
    <w:rsid w:val="00D60367"/>
    <w:rsid w:val="00D64EE3"/>
    <w:rsid w:val="00D83396"/>
    <w:rsid w:val="00D93207"/>
    <w:rsid w:val="00DB0B42"/>
    <w:rsid w:val="00DC3801"/>
    <w:rsid w:val="00DD011F"/>
    <w:rsid w:val="00E101B0"/>
    <w:rsid w:val="00E41E2F"/>
    <w:rsid w:val="00E67AB2"/>
    <w:rsid w:val="00E869EF"/>
    <w:rsid w:val="00EA6172"/>
    <w:rsid w:val="00EA6C27"/>
    <w:rsid w:val="00EA7A6D"/>
    <w:rsid w:val="00EC00C0"/>
    <w:rsid w:val="00EF049B"/>
    <w:rsid w:val="00F1508F"/>
    <w:rsid w:val="00F43990"/>
    <w:rsid w:val="00F64C6B"/>
    <w:rsid w:val="00F65B74"/>
    <w:rsid w:val="00F756D0"/>
    <w:rsid w:val="00FB102F"/>
    <w:rsid w:val="00FC56B4"/>
    <w:rsid w:val="00FC5DB5"/>
    <w:rsid w:val="00FD5BBD"/>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E6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paragraph" w:customStyle="1" w:styleId="Tabellenspiegelstrich">
    <w:name w:val="Tabellenspiegelstrich"/>
    <w:basedOn w:val="Standard"/>
    <w:rsid w:val="002329D7"/>
    <w:pPr>
      <w:numPr>
        <w:numId w:val="9"/>
      </w:numPr>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8E7F-706B-48E4-B3EE-7AE20757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3068</Characters>
  <Application>Microsoft Office Word</Application>
  <DocSecurity>0</DocSecurity>
  <Lines>80</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2025-04-17T10:51:00Z</dcterms:created>
  <dcterms:modified xsi:type="dcterms:W3CDTF">2025-04-17T10:51:00Z</dcterms:modified>
</cp:coreProperties>
</file>