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70A4" w14:textId="78AF2992" w:rsidR="00C03926" w:rsidRPr="001F0009" w:rsidRDefault="00DF6AE5" w:rsidP="001F0009">
      <w:pPr>
        <w:ind w:left="530"/>
        <w:rPr>
          <w:bCs/>
          <w:i/>
        </w:rPr>
      </w:pPr>
      <w:r w:rsidRPr="00394B02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47F78A6" wp14:editId="547F78A7">
                <wp:simplePos x="0" y="0"/>
                <wp:positionH relativeFrom="column">
                  <wp:posOffset>-1325</wp:posOffset>
                </wp:positionH>
                <wp:positionV relativeFrom="paragraph">
                  <wp:posOffset>-1905</wp:posOffset>
                </wp:positionV>
                <wp:extent cx="278130" cy="278130"/>
                <wp:effectExtent l="0" t="0" r="7620" b="7620"/>
                <wp:wrapNone/>
                <wp:docPr id="2" name="Grafik 2" descr="C:\Users\di57bac\AppData\Local\Microsoft\Windows\INetCache\Content.MSO\D09BBDE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57bac\AppData\Local\Microsoft\Windows\INetCache\Content.MSO\D09BBDE5.tmp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21376;o:allowoverlap:true;o:allowincell:true;mso-position-horizontal-relative:text;margin-left:-0.10pt;mso-position-horizontal:absolute;mso-position-vertical-relative:text;margin-top:-0.15pt;mso-position-vertical:absolute;width:21.90pt;height:21.9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 w:rsidR="00150FD3">
        <w:rPr>
          <w:rFonts w:cs="Arial"/>
        </w:rPr>
        <w:t>Inf</w:t>
      </w:r>
      <w:r w:rsidR="00150FD3" w:rsidRPr="00150FD3">
        <w:rPr>
          <w:bCs/>
        </w:rPr>
        <w:t xml:space="preserve">ormieren Sie sich anhand des Auszugs aus der </w:t>
      </w:r>
      <w:r w:rsidR="00150FD3" w:rsidRPr="001F0009">
        <w:rPr>
          <w:bCs/>
        </w:rPr>
        <w:t>technischen Dokumentation über die technischen Daten und Hinweise zur Säulenbohrmaschine.</w:t>
      </w:r>
      <w:r w:rsidR="00150FD3" w:rsidRPr="00150FD3">
        <w:rPr>
          <w:bCs/>
        </w:rPr>
        <w:t xml:space="preserve"> </w:t>
      </w:r>
    </w:p>
    <w:p w14:paraId="54DEE118" w14:textId="77777777" w:rsidR="00831E6D" w:rsidRDefault="00831E6D" w:rsidP="00831E6D">
      <w:pPr>
        <w:spacing w:after="0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C03926" w14:paraId="034CC0E5" w14:textId="77777777" w:rsidTr="00D359BE">
        <w:tc>
          <w:tcPr>
            <w:tcW w:w="9067" w:type="dxa"/>
            <w:gridSpan w:val="2"/>
            <w:shd w:val="clear" w:color="auto" w:fill="F2F2F2" w:themeFill="background1" w:themeFillShade="F2"/>
          </w:tcPr>
          <w:p w14:paraId="5CB41314" w14:textId="77DE7A8A" w:rsidR="00C03926" w:rsidRPr="004A07BB" w:rsidRDefault="004A07BB" w:rsidP="00D368FF">
            <w:pPr>
              <w:jc w:val="center"/>
              <w:rPr>
                <w:b/>
                <w:bCs/>
                <w:sz w:val="22"/>
                <w:szCs w:val="22"/>
              </w:rPr>
            </w:pPr>
            <w:r w:rsidRPr="00F808B9">
              <w:rPr>
                <w:b/>
                <w:color w:val="009999"/>
                <w:sz w:val="28"/>
                <w:szCs w:val="22"/>
              </w:rPr>
              <w:t>Technische Dokumentation zur Säulenbohrmaschine</w:t>
            </w:r>
          </w:p>
        </w:tc>
      </w:tr>
      <w:tr w:rsidR="00C03926" w14:paraId="22814051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290CC16" w14:textId="0E257AC5" w:rsidR="00C03926" w:rsidRPr="00F808B9" w:rsidRDefault="001D0A23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</w:rPr>
              <w:t>1. Einleitung</w:t>
            </w:r>
          </w:p>
          <w:p w14:paraId="77F238FD" w14:textId="77777777" w:rsidR="00C03926" w:rsidRPr="00F808B9" w:rsidRDefault="00C03926" w:rsidP="00F808B9">
            <w:pPr>
              <w:spacing w:line="360" w:lineRule="auto"/>
            </w:pPr>
            <w:r w:rsidRPr="00F808B9">
              <w:t>Die Säulenbohrmaschine ist ein leistungsstarkes Werkzeug, das in der Metall- und Holzbearbeitung eingesetzt wird. Diese Dokumentation bietet einen umfassenden Überblick über die technischen Spezifikationen, Funktionen und Bedienungsanleitungen der Säulenbohrmaschine.</w:t>
            </w:r>
          </w:p>
        </w:tc>
      </w:tr>
      <w:tr w:rsidR="00C03926" w14:paraId="45540777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538D2763" w14:textId="634D19F9" w:rsidR="00C03926" w:rsidRPr="00F808B9" w:rsidRDefault="0077245B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</w:rPr>
              <w:t>2. Modellübersicht</w:t>
            </w:r>
          </w:p>
          <w:p w14:paraId="692CD123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2.1 Modellname: Meta-L-Star 200</w:t>
            </w:r>
          </w:p>
          <w:p w14:paraId="77601330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2.2 Hersteller: Präzisionsmaschinen GmbH</w:t>
            </w:r>
          </w:p>
          <w:p w14:paraId="3BCD12B9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732A9C41" w14:textId="77777777" w:rsidTr="00FB3CC2">
        <w:tc>
          <w:tcPr>
            <w:tcW w:w="4533" w:type="dxa"/>
            <w:shd w:val="clear" w:color="auto" w:fill="F2F2F2" w:themeFill="background1" w:themeFillShade="F2"/>
          </w:tcPr>
          <w:p w14:paraId="0241B98C" w14:textId="77777777" w:rsidR="0089550D" w:rsidRPr="00F808B9" w:rsidRDefault="0089550D" w:rsidP="00F808B9">
            <w:pPr>
              <w:spacing w:line="360" w:lineRule="auto"/>
              <w:rPr>
                <w:b/>
              </w:rPr>
            </w:pPr>
            <w:r w:rsidRPr="00F808B9">
              <w:rPr>
                <w:b/>
              </w:rPr>
              <w:t xml:space="preserve">3. Technische Daten </w:t>
            </w:r>
          </w:p>
          <w:p w14:paraId="370E16C9" w14:textId="33D554CA" w:rsidR="00C03926" w:rsidRPr="00F808B9" w:rsidRDefault="0089550D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</w:rPr>
              <w:t>3.1 Allgemeine Spezifikationen</w:t>
            </w:r>
          </w:p>
          <w:p w14:paraId="328CF270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Leistung: 1,5 kW</w:t>
            </w:r>
          </w:p>
          <w:p w14:paraId="643D8F39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Spannung: 230 V, 50 Hz</w:t>
            </w:r>
          </w:p>
          <w:p w14:paraId="28AC6410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Bohrkapazität in Stahl: 32 mm</w:t>
            </w:r>
          </w:p>
          <w:p w14:paraId="788771EE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Bohrkapazität in Guss: 40 mm</w:t>
            </w:r>
          </w:p>
          <w:p w14:paraId="7F2AB988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Spindeldrehzahlbereich: 150-2500 U/min</w:t>
            </w:r>
          </w:p>
          <w:p w14:paraId="251CA333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Spindelhub: 150 mm</w:t>
            </w:r>
          </w:p>
          <w:p w14:paraId="56AD9AB1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Ausladung (Abstand Spindelmitte bis Säule): 260 mm</w:t>
            </w:r>
          </w:p>
          <w:p w14:paraId="5D1456DC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Säulendurchmesser: 80 mm</w:t>
            </w:r>
          </w:p>
          <w:p w14:paraId="7055189A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Tischgröße: 400 x 300 mm</w:t>
            </w:r>
          </w:p>
          <w:p w14:paraId="0B9DAE41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Abstand Spindelmitte zum Tisch: 600 mm</w:t>
            </w:r>
          </w:p>
          <w:p w14:paraId="3B32B314" w14:textId="77777777" w:rsidR="00C03926" w:rsidRPr="00F808B9" w:rsidRDefault="00C03926" w:rsidP="00F808B9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Abstand Spindelmitte zum Maschinenfuß: 1100 mm</w:t>
            </w:r>
          </w:p>
          <w:p w14:paraId="230CDA56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34" w:type="dxa"/>
            <w:shd w:val="clear" w:color="auto" w:fill="F2F2F2" w:themeFill="background1" w:themeFillShade="F2"/>
          </w:tcPr>
          <w:p w14:paraId="3F20E770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br/>
              <w:t>3.2 Spindel</w:t>
            </w:r>
          </w:p>
          <w:p w14:paraId="6C5B977D" w14:textId="77777777" w:rsidR="00C03926" w:rsidRPr="00F808B9" w:rsidRDefault="00C03926" w:rsidP="00F808B9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Spindelaufnahme:</w:t>
            </w:r>
            <w:r w:rsidRPr="00F808B9">
              <w:t xml:space="preserve"> MK4</w:t>
            </w:r>
          </w:p>
          <w:p w14:paraId="10CF9485" w14:textId="77777777" w:rsidR="00C03926" w:rsidRPr="00F808B9" w:rsidRDefault="00C03926" w:rsidP="00F808B9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Automatischer Vorschub:</w:t>
            </w:r>
            <w:r w:rsidRPr="00F808B9">
              <w:t xml:space="preserve"> 0,1 - 0,2 - 0,3 mm/U</w:t>
            </w:r>
          </w:p>
          <w:p w14:paraId="06815A68" w14:textId="77777777" w:rsidR="00C03926" w:rsidRPr="00F808B9" w:rsidRDefault="00C03926" w:rsidP="00F808B9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Manueller Vorschub:</w:t>
            </w:r>
            <w:r w:rsidRPr="00F808B9">
              <w:t xml:space="preserve"> Ja</w:t>
            </w:r>
          </w:p>
          <w:p w14:paraId="2B760214" w14:textId="77777777" w:rsidR="00C03926" w:rsidRPr="00F808B9" w:rsidRDefault="00C03926" w:rsidP="00F808B9">
            <w:pPr>
              <w:spacing w:line="360" w:lineRule="auto"/>
              <w:ind w:left="720"/>
            </w:pPr>
          </w:p>
          <w:p w14:paraId="693A78E1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3.3 Maschinenabmessungen</w:t>
            </w:r>
          </w:p>
          <w:p w14:paraId="033C31C0" w14:textId="77777777" w:rsidR="00C03926" w:rsidRPr="00F808B9" w:rsidRDefault="00C03926" w:rsidP="00F808B9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Höhe:</w:t>
            </w:r>
            <w:r w:rsidRPr="00F808B9">
              <w:t xml:space="preserve"> 1800 mm</w:t>
            </w:r>
          </w:p>
          <w:p w14:paraId="374D3658" w14:textId="77777777" w:rsidR="00C03926" w:rsidRPr="00F808B9" w:rsidRDefault="00C03926" w:rsidP="00F808B9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Breite:</w:t>
            </w:r>
            <w:r w:rsidRPr="00F808B9">
              <w:t xml:space="preserve"> 600 mm</w:t>
            </w:r>
          </w:p>
          <w:p w14:paraId="282A8C2A" w14:textId="77777777" w:rsidR="00C03926" w:rsidRPr="00F808B9" w:rsidRDefault="00C03926" w:rsidP="00F808B9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Tiefe:</w:t>
            </w:r>
            <w:r w:rsidRPr="00F808B9">
              <w:t xml:space="preserve"> 800 mm</w:t>
            </w:r>
          </w:p>
          <w:p w14:paraId="034FE899" w14:textId="77777777" w:rsidR="00C03926" w:rsidRPr="00F808B9" w:rsidRDefault="00C03926" w:rsidP="00F808B9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</w:pPr>
            <w:r w:rsidRPr="00F808B9">
              <w:rPr>
                <w:bCs/>
              </w:rPr>
              <w:t>Gewicht:</w:t>
            </w:r>
            <w:r w:rsidRPr="00F808B9">
              <w:t xml:space="preserve"> 260 kg</w:t>
            </w:r>
          </w:p>
          <w:p w14:paraId="2B9AF80C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6F335FE2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4B96DC9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4. Funktionen</w:t>
            </w:r>
          </w:p>
          <w:p w14:paraId="18B5A1BF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4.1 Präzise Bohrungen</w:t>
            </w:r>
          </w:p>
          <w:p w14:paraId="0B0ADB2E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lastRenderedPageBreak/>
              <w:t>Die Säulenbohrmaschine ermöglicht präzise Bohrungen in verschiedenen Materialien dank ihrer leistungsstarken Spindel und präzisen Steuerung.</w:t>
            </w:r>
          </w:p>
          <w:p w14:paraId="3A872F6E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2A19A60B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0F24189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lastRenderedPageBreak/>
              <w:t>4.2 Variable Spindeldrehzahl</w:t>
            </w:r>
          </w:p>
          <w:p w14:paraId="08C8F5EC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Die einstellbare Spindeldrehzahl ermöglicht die Anpassung an unterschiedliche Materialien und Bohranforderungen, von langsamen Drehzahlen für größere Bohrdurchmesser bis zu höheren Drehzahlen für kleinere Durchmesser.</w:t>
            </w:r>
          </w:p>
          <w:p w14:paraId="208F0759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2669AA00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503BD21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5. Sicherheitshinweise</w:t>
            </w:r>
          </w:p>
          <w:p w14:paraId="6B7B5940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Bevor Sie die Säulenbohrmaschine verwenden, lesen Sie bitte die Bedienungsanleitung sorgfältig durch. Einige grundlegende Sicherheitshinweise sind:</w:t>
            </w:r>
          </w:p>
          <w:p w14:paraId="761BEA47" w14:textId="77777777" w:rsidR="00C03926" w:rsidRPr="00F808B9" w:rsidRDefault="00C03926" w:rsidP="00F808B9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Tragen Sie immer persönliche Schutzausrüstung wie Schutzbrille und Gehörschutz.</w:t>
            </w:r>
          </w:p>
          <w:p w14:paraId="27F793B7" w14:textId="77777777" w:rsidR="00C03926" w:rsidRPr="00F808B9" w:rsidRDefault="00C03926" w:rsidP="00F808B9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Stellen Sie sicher, dass die Maschine auf einer stabilen Oberfläche steht.</w:t>
            </w:r>
          </w:p>
          <w:p w14:paraId="5FEA98F0" w14:textId="77777777" w:rsidR="00C03926" w:rsidRPr="00F808B9" w:rsidRDefault="00C03926" w:rsidP="00F808B9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rPr>
                <w:bCs/>
              </w:rPr>
            </w:pPr>
            <w:r w:rsidRPr="00F808B9">
              <w:rPr>
                <w:bCs/>
              </w:rPr>
              <w:t>Halten Sie Arbeitsbereich und Maschine sauber und gut beleuchtet.</w:t>
            </w:r>
          </w:p>
          <w:p w14:paraId="45FA17A3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541E6B3D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EAB770D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6. Instandhaltung und Entsorgung</w:t>
            </w:r>
          </w:p>
          <w:p w14:paraId="5302F847" w14:textId="77777777" w:rsidR="00C03926" w:rsidRPr="00F808B9" w:rsidRDefault="00C03926" w:rsidP="00F808B9">
            <w:pPr>
              <w:spacing w:line="360" w:lineRule="auto"/>
              <w:rPr>
                <w:bCs/>
              </w:rPr>
            </w:pPr>
            <w:r w:rsidRPr="00F808B9">
              <w:rPr>
                <w:bCs/>
              </w:rPr>
              <w:t xml:space="preserve">Regelmäßige Wartung ist entscheidend für die langfristige Leistung der Säulenbohrmaschine. Überprüfen Sie daher bewegliche Teile regelmäßig auf Verschleiß. Geben Sie Späne nach Abschluss einer jeden Bohrarbeit in einen </w:t>
            </w:r>
            <w:proofErr w:type="spellStart"/>
            <w:r w:rsidRPr="00F808B9">
              <w:rPr>
                <w:bCs/>
              </w:rPr>
              <w:t>Spänesammelbehälter</w:t>
            </w:r>
            <w:proofErr w:type="spellEnd"/>
            <w:r w:rsidRPr="00F808B9">
              <w:rPr>
                <w:bCs/>
              </w:rPr>
              <w:t xml:space="preserve"> und teilen Sie Mängel an der Maschine Aufsicht führenden Personen mit. Instandhaltungsarbeiten dürfen nur durch damit beauftragte Personen durchgeführt werden.  </w:t>
            </w:r>
          </w:p>
          <w:p w14:paraId="33FB8B5E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</w:p>
        </w:tc>
      </w:tr>
      <w:tr w:rsidR="00C03926" w14:paraId="568AA5CC" w14:textId="77777777" w:rsidTr="00FB3CC2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E04F80D" w14:textId="77777777" w:rsidR="00C03926" w:rsidRPr="00F808B9" w:rsidRDefault="00C03926" w:rsidP="00F808B9">
            <w:pPr>
              <w:spacing w:line="360" w:lineRule="auto"/>
              <w:rPr>
                <w:b/>
                <w:bCs/>
              </w:rPr>
            </w:pPr>
            <w:r w:rsidRPr="00F808B9">
              <w:rPr>
                <w:b/>
                <w:bCs/>
              </w:rPr>
              <w:t>7. Verhalten im Störfall und bei Unfällen</w:t>
            </w:r>
          </w:p>
          <w:p w14:paraId="0FACCBFD" w14:textId="77777777" w:rsidR="00C03926" w:rsidRPr="00F808B9" w:rsidRDefault="00C03926" w:rsidP="00F808B9">
            <w:pPr>
              <w:spacing w:line="360" w:lineRule="auto"/>
            </w:pPr>
            <w:r w:rsidRPr="00F808B9">
              <w:t>Schalten Sie die Maschine im Störfall (Bruch oder Festsetzung des Bohrers) oder bei Unfällen sofort ab. Bei Unfällen mit Verletzten sind umgehend Erste-Hilfe-Maßnahmen einzuleiten. Melden Sie Störungen und Unfälle.</w:t>
            </w:r>
          </w:p>
          <w:p w14:paraId="731A6467" w14:textId="77777777" w:rsidR="00C03926" w:rsidRPr="00F808B9" w:rsidRDefault="00C03926" w:rsidP="00F808B9">
            <w:pPr>
              <w:spacing w:line="360" w:lineRule="auto"/>
            </w:pPr>
            <w:r w:rsidRPr="00F808B9">
              <w:t>[…]</w:t>
            </w:r>
          </w:p>
        </w:tc>
      </w:tr>
    </w:tbl>
    <w:p w14:paraId="20076FFC" w14:textId="77777777" w:rsidR="00C03926" w:rsidRDefault="00C03926" w:rsidP="00C03926">
      <w:pPr>
        <w:spacing w:after="0"/>
      </w:pPr>
      <w:bookmarkStart w:id="0" w:name="_GoBack"/>
      <w:bookmarkEnd w:id="0"/>
    </w:p>
    <w:sectPr w:rsidR="00C03926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5A0A" w14:textId="77777777" w:rsidR="00664367" w:rsidRDefault="00664367">
      <w:pPr>
        <w:spacing w:after="0" w:line="240" w:lineRule="auto"/>
      </w:pPr>
      <w:r>
        <w:separator/>
      </w:r>
    </w:p>
  </w:endnote>
  <w:endnote w:type="continuationSeparator" w:id="0">
    <w:p w14:paraId="77DE83A4" w14:textId="77777777" w:rsidR="00664367" w:rsidRDefault="0066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F8F04" w14:textId="77777777" w:rsidR="00664367" w:rsidRDefault="00664367">
      <w:pPr>
        <w:spacing w:after="0" w:line="240" w:lineRule="auto"/>
      </w:pPr>
      <w:r>
        <w:separator/>
      </w:r>
    </w:p>
  </w:footnote>
  <w:footnote w:type="continuationSeparator" w:id="0">
    <w:p w14:paraId="1D1AE965" w14:textId="77777777" w:rsidR="00664367" w:rsidRDefault="0066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319BF79B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831E6D">
      <w:t>8</w:t>
    </w:r>
    <w:r w:rsidR="00FE4A44" w:rsidRPr="00FE4A44">
      <w:rPr>
        <w:rFonts w:cs="Arial"/>
      </w:rPr>
      <w:t xml:space="preserve"> </w:t>
    </w:r>
    <w:r w:rsidR="00831E6D">
      <w:t>Technische Dokumentation (Auszug)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D30F7"/>
    <w:multiLevelType w:val="multilevel"/>
    <w:tmpl w:val="465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D4CF6"/>
    <w:multiLevelType w:val="multilevel"/>
    <w:tmpl w:val="6A9C3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1D3457"/>
    <w:multiLevelType w:val="multilevel"/>
    <w:tmpl w:val="65B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7587D"/>
    <w:multiLevelType w:val="multilevel"/>
    <w:tmpl w:val="FFC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75C57"/>
    <w:multiLevelType w:val="multilevel"/>
    <w:tmpl w:val="6714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22980"/>
    <w:rsid w:val="001467C1"/>
    <w:rsid w:val="00150FD3"/>
    <w:rsid w:val="00182BD9"/>
    <w:rsid w:val="0019433B"/>
    <w:rsid w:val="001D0A23"/>
    <w:rsid w:val="001F0009"/>
    <w:rsid w:val="00230997"/>
    <w:rsid w:val="002C26EB"/>
    <w:rsid w:val="003444CE"/>
    <w:rsid w:val="00394B02"/>
    <w:rsid w:val="004465B8"/>
    <w:rsid w:val="0045302F"/>
    <w:rsid w:val="004A07BB"/>
    <w:rsid w:val="00595D64"/>
    <w:rsid w:val="005C4DE3"/>
    <w:rsid w:val="005E4044"/>
    <w:rsid w:val="00604D4E"/>
    <w:rsid w:val="00642A00"/>
    <w:rsid w:val="0064537A"/>
    <w:rsid w:val="00651E01"/>
    <w:rsid w:val="00664367"/>
    <w:rsid w:val="006876AE"/>
    <w:rsid w:val="006D31A3"/>
    <w:rsid w:val="00767D89"/>
    <w:rsid w:val="0077245B"/>
    <w:rsid w:val="007C270A"/>
    <w:rsid w:val="007C491C"/>
    <w:rsid w:val="007E7CB2"/>
    <w:rsid w:val="008044A9"/>
    <w:rsid w:val="00831E6D"/>
    <w:rsid w:val="00870419"/>
    <w:rsid w:val="0089550D"/>
    <w:rsid w:val="0090586B"/>
    <w:rsid w:val="009173C0"/>
    <w:rsid w:val="0094620F"/>
    <w:rsid w:val="00A357BD"/>
    <w:rsid w:val="00A6699A"/>
    <w:rsid w:val="00B45DD9"/>
    <w:rsid w:val="00B53A99"/>
    <w:rsid w:val="00C00D8A"/>
    <w:rsid w:val="00C03926"/>
    <w:rsid w:val="00C13335"/>
    <w:rsid w:val="00CB3399"/>
    <w:rsid w:val="00D359BE"/>
    <w:rsid w:val="00DF6AE5"/>
    <w:rsid w:val="00E83642"/>
    <w:rsid w:val="00F411C3"/>
    <w:rsid w:val="00F808B9"/>
    <w:rsid w:val="00FB3CC2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2</cp:revision>
  <dcterms:created xsi:type="dcterms:W3CDTF">2024-05-14T08:51:00Z</dcterms:created>
  <dcterms:modified xsi:type="dcterms:W3CDTF">2024-05-14T08:51:00Z</dcterms:modified>
</cp:coreProperties>
</file>