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068" w:rsidRDefault="00A0539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811"/>
        <w:gridCol w:w="3600"/>
        <w:gridCol w:w="2610"/>
      </w:tblGrid>
      <w:tr w:rsidR="000A1068">
        <w:trPr>
          <w:trHeight w:val="850"/>
        </w:trPr>
        <w:tc>
          <w:tcPr>
            <w:tcW w:w="14572" w:type="dxa"/>
            <w:gridSpan w:val="4"/>
          </w:tcPr>
          <w:p w:rsidR="000A1068" w:rsidRDefault="00A0539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Nr.: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>
              <w:rPr>
                <w:rFonts w:ascii="Arial" w:eastAsia="Arial" w:hAnsi="Arial" w:cs="Arial"/>
                <w:b/>
                <w:sz w:val="24"/>
              </w:rPr>
              <w:t>10 Massivdecken herstellen</w:t>
            </w:r>
          </w:p>
          <w:p w:rsidR="000A1068" w:rsidRDefault="00A0539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  <w:t>2</w:t>
            </w:r>
          </w:p>
          <w:p w:rsidR="000A1068" w:rsidRDefault="00A053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  <w:t>60 Stunden</w:t>
            </w:r>
          </w:p>
        </w:tc>
      </w:tr>
      <w:tr w:rsidR="000A1068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:rsidR="000A1068" w:rsidRDefault="00A0539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0A1068" w:rsidRDefault="00A053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Kompetenz aus dem Rahmenlehrplan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0A1068" w:rsidRDefault="00A053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0A1068" w:rsidRDefault="00A053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0A1068">
        <w:trPr>
          <w:trHeight w:val="624"/>
        </w:trPr>
        <w:tc>
          <w:tcPr>
            <w:tcW w:w="2551" w:type="dxa"/>
          </w:tcPr>
          <w:p w:rsidR="000A1068" w:rsidRDefault="00A05390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811" w:type="dxa"/>
          </w:tcPr>
          <w:p w:rsidR="000A1068" w:rsidRDefault="00A05390">
            <w:pPr>
              <w:rPr>
                <w:rFonts w:ascii="Arial" w:hAnsi="Arial" w:cs="Arial"/>
                <w:sz w:val="24"/>
                <w:szCs w:val="24"/>
              </w:rPr>
            </w:pPr>
            <w:r>
              <w:t>Die Schülerinnen und Schüler analysieren die bauliche Situation und den Auftrag hinsichtlich der Anforderungen der herzustellenden Massivdecke und beschreiben die daraus erforderlichen Eigenschaften.</w:t>
            </w:r>
          </w:p>
        </w:tc>
        <w:tc>
          <w:tcPr>
            <w:tcW w:w="3600" w:type="dxa"/>
          </w:tcPr>
          <w:p w:rsidR="000A1068" w:rsidRDefault="00A05390">
            <w:r>
              <w:t xml:space="preserve">BBP: </w:t>
            </w:r>
          </w:p>
          <w:p w:rsidR="000A1068" w:rsidRDefault="00A05390">
            <w:r>
              <w:t>1. d) Arbeitsaufträge hinsichtlich der Kundenanfor</w:t>
            </w:r>
            <w:r>
              <w:t xml:space="preserve">derungen und betrieblichen Vorgaben </w:t>
            </w:r>
            <w:proofErr w:type="gramStart"/>
            <w:r>
              <w:t>auf  Umsetzbarkeit</w:t>
            </w:r>
            <w:proofErr w:type="gramEnd"/>
            <w:r>
              <w:t xml:space="preserve"> prüfen ...</w:t>
            </w:r>
          </w:p>
        </w:tc>
        <w:tc>
          <w:tcPr>
            <w:tcW w:w="2610" w:type="dxa"/>
          </w:tcPr>
          <w:p w:rsidR="000A1068" w:rsidRDefault="000A1068">
            <w:pPr>
              <w:pStyle w:val="Listenabsatz"/>
              <w:numPr>
                <w:ilvl w:val="0"/>
                <w:numId w:val="7"/>
              </w:numPr>
              <w:ind w:left="284" w:hanging="227"/>
            </w:pPr>
          </w:p>
        </w:tc>
      </w:tr>
      <w:tr w:rsidR="000A1068">
        <w:trPr>
          <w:trHeight w:val="624"/>
        </w:trPr>
        <w:tc>
          <w:tcPr>
            <w:tcW w:w="2551" w:type="dxa"/>
          </w:tcPr>
          <w:p w:rsidR="000A1068" w:rsidRDefault="00A0539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811" w:type="dxa"/>
          </w:tcPr>
          <w:p w:rsidR="000A1068" w:rsidRDefault="00A05390">
            <w:pPr>
              <w:rPr>
                <w:szCs w:val="24"/>
              </w:rPr>
            </w:pPr>
            <w:r>
              <w:t xml:space="preserve">Die Schülerinnen und Schüler informieren sich über Deckenkonstruktionen aus </w:t>
            </w:r>
            <w:proofErr w:type="gramStart"/>
            <w:r>
              <w:t>Stahlbeton  (</w:t>
            </w:r>
            <w:proofErr w:type="gramEnd"/>
            <w:r>
              <w:t xml:space="preserve">Rippendecke, Plattendecke, Plattenbalkendecke). Sie erkundigen sich über die Anforderungen an eine Deckenschalung und über die erforderlichen Schalungsteile mit ihren </w:t>
            </w:r>
            <w:r>
              <w:t>Aufgaben. Sie vergleichen die unterschiedlichen Schalungssysteme (Modul-, Element-, Paneel-, Trägerschalung). Die Schülerinnen und Schüler informieren sich über die unterschiedlichen statischen Systeme bei Deckenplatten und die daraus resultierende Bewehru</w:t>
            </w:r>
            <w:r>
              <w:t>ngsführung (</w:t>
            </w:r>
            <w:proofErr w:type="spellStart"/>
            <w:r>
              <w:t>Einfeldplatte</w:t>
            </w:r>
            <w:proofErr w:type="spellEnd"/>
            <w:r>
              <w:t xml:space="preserve">, Mehrfeldplatte, Kragplatte). Sie ermitteln zielorientiert die Aufgaben der </w:t>
            </w:r>
            <w:proofErr w:type="gramStart"/>
            <w:r>
              <w:t>einzelnen  Bewehrungsteile</w:t>
            </w:r>
            <w:proofErr w:type="gramEnd"/>
            <w:r>
              <w:t xml:space="preserve"> (Betonstahlmatten, Zulagen, Unterstützungskörbe, Steckbügel) und leiten die Bewehrungsregeln ab. Die Schülerinnen und Schüler e</w:t>
            </w:r>
            <w:r>
              <w:t xml:space="preserve">rfassen verschiedene Schalungs- und Bewehrungspläne für Massivdecken.  </w:t>
            </w:r>
          </w:p>
        </w:tc>
        <w:tc>
          <w:tcPr>
            <w:tcW w:w="3600" w:type="dxa"/>
          </w:tcPr>
          <w:p w:rsidR="000A1068" w:rsidRDefault="00A05390">
            <w:r>
              <w:t>BBP:</w:t>
            </w:r>
          </w:p>
          <w:p w:rsidR="000A1068" w:rsidRDefault="00A05390">
            <w:r>
              <w:t>1. e) technische Regelwerke, Bauvorschriften ... berücksichtigen</w:t>
            </w:r>
          </w:p>
          <w:p w:rsidR="000A1068" w:rsidRDefault="00A05390">
            <w:r>
              <w:t>2. m) I</w:t>
            </w:r>
            <w:r>
              <w:t xml:space="preserve">nformationen, insbesondere </w:t>
            </w:r>
            <w:proofErr w:type="gramStart"/>
            <w:r>
              <w:t>technische  Merkblätter</w:t>
            </w:r>
            <w:proofErr w:type="gramEnd"/>
            <w:r>
              <w:t xml:space="preserve"> und Gebrauchsanleitungen, auswählen und nutzen</w:t>
            </w:r>
          </w:p>
        </w:tc>
        <w:tc>
          <w:tcPr>
            <w:tcW w:w="2610" w:type="dxa"/>
          </w:tcPr>
          <w:p w:rsidR="000A1068" w:rsidRDefault="00A05390">
            <w:r>
              <w:t>D: Intern</w:t>
            </w:r>
            <w:r>
              <w:t>etrecherche</w:t>
            </w:r>
          </w:p>
          <w:p w:rsidR="000A1068" w:rsidRDefault="00A05390">
            <w:r>
              <w:t>B: Fachsprache erweitern</w:t>
            </w:r>
          </w:p>
          <w:p w:rsidR="000A1068" w:rsidRDefault="000A1068"/>
          <w:p w:rsidR="000A1068" w:rsidRDefault="000A1068">
            <w:pPr>
              <w:pStyle w:val="Listenabsatz"/>
            </w:pPr>
          </w:p>
          <w:p w:rsidR="000A1068" w:rsidRDefault="000A1068">
            <w:pPr>
              <w:pStyle w:val="Listenabsatz"/>
            </w:pPr>
          </w:p>
          <w:p w:rsidR="000A1068" w:rsidRDefault="000A1068">
            <w:pPr>
              <w:pStyle w:val="Listenabsatz"/>
            </w:pPr>
          </w:p>
          <w:p w:rsidR="000A1068" w:rsidRDefault="000A1068">
            <w:pPr>
              <w:pStyle w:val="Listenabsatz"/>
            </w:pPr>
          </w:p>
          <w:p w:rsidR="000A1068" w:rsidRDefault="000A1068">
            <w:pPr>
              <w:pStyle w:val="Listenabsatz"/>
            </w:pPr>
          </w:p>
          <w:p w:rsidR="000A1068" w:rsidRDefault="000A1068">
            <w:pPr>
              <w:pStyle w:val="Listenabsatz"/>
            </w:pPr>
          </w:p>
          <w:p w:rsidR="000A1068" w:rsidRDefault="000A1068">
            <w:pPr>
              <w:pStyle w:val="Listenabsatz"/>
            </w:pPr>
          </w:p>
          <w:p w:rsidR="000A1068" w:rsidRDefault="000A1068">
            <w:pPr>
              <w:pStyle w:val="Listenabsatz"/>
              <w:ind w:left="0"/>
            </w:pPr>
          </w:p>
        </w:tc>
      </w:tr>
      <w:tr w:rsidR="000A1068">
        <w:trPr>
          <w:trHeight w:val="624"/>
        </w:trPr>
        <w:tc>
          <w:tcPr>
            <w:tcW w:w="2551" w:type="dxa"/>
          </w:tcPr>
          <w:p w:rsidR="000A1068" w:rsidRDefault="00A0539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u w:val="single"/>
              </w:rPr>
              <w:lastRenderedPageBreak/>
              <w:t>Planen:</w:t>
            </w:r>
          </w:p>
        </w:tc>
        <w:tc>
          <w:tcPr>
            <w:tcW w:w="5811" w:type="dxa"/>
          </w:tcPr>
          <w:p w:rsidR="000A1068" w:rsidRDefault="00A053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highlight w:val="red"/>
              </w:rPr>
              <w:t xml:space="preserve">Die Schülerinnen und Schüler entscheiden sich für ein Deckenschalungssystem </w:t>
            </w:r>
            <w:r>
              <w:t xml:space="preserve">und </w:t>
            </w:r>
            <w:r>
              <w:rPr>
                <w:highlight w:val="yellow"/>
              </w:rPr>
              <w:t>erstellen eine Schalungsplanung (Schalplan, Materialliste, Arbeitsablauf unter besonderer Berücksichtigung der Arbeitssicherheit).</w:t>
            </w:r>
            <w:r>
              <w:rPr>
                <w:highlight w:val="white"/>
              </w:rPr>
              <w:t xml:space="preserve"> </w:t>
            </w:r>
            <w:r>
              <w:rPr>
                <w:highlight w:val="yellow"/>
              </w:rPr>
              <w:t xml:space="preserve">Sie leiten das statische System der Decke ab </w:t>
            </w:r>
            <w:r>
              <w:t xml:space="preserve">und </w:t>
            </w:r>
            <w:r>
              <w:rPr>
                <w:highlight w:val="yellow"/>
              </w:rPr>
              <w:t>planen die Bewehrung der Massivdecke (Bewehrungszeichnung mit Stahlauszug, S</w:t>
            </w:r>
            <w:r>
              <w:rPr>
                <w:highlight w:val="yellow"/>
              </w:rPr>
              <w:t xml:space="preserve">chneideskizze). </w:t>
            </w:r>
            <w:r>
              <w:t xml:space="preserve">Die Schülerinnen und Schüler </w:t>
            </w:r>
            <w:r>
              <w:rPr>
                <w:highlight w:val="yellow"/>
              </w:rPr>
              <w:t>planen die Betonzusammensetzung und ermitteln die erforderlichen Mengen an Zement, Gesteinskörnung und Wasser.</w:t>
            </w:r>
            <w:r>
              <w:t xml:space="preserve"> </w:t>
            </w:r>
            <w:r>
              <w:rPr>
                <w:highlight w:val="red"/>
              </w:rPr>
              <w:t xml:space="preserve">Für die Nachbehandlung </w:t>
            </w:r>
            <w:proofErr w:type="gramStart"/>
            <w:r>
              <w:rPr>
                <w:highlight w:val="red"/>
              </w:rPr>
              <w:t>der  Decke</w:t>
            </w:r>
            <w:proofErr w:type="gramEnd"/>
            <w:r>
              <w:rPr>
                <w:highlight w:val="red"/>
              </w:rPr>
              <w:t xml:space="preserve"> wählen und begründen sie ein Verfahren.</w:t>
            </w:r>
            <w:r>
              <w:t xml:space="preserve"> </w:t>
            </w:r>
            <w:r>
              <w:rPr>
                <w:highlight w:val="red"/>
              </w:rPr>
              <w:t>Sie diskutieren einzelne L</w:t>
            </w:r>
            <w:r>
              <w:rPr>
                <w:highlight w:val="red"/>
              </w:rPr>
              <w:t xml:space="preserve">ösungsvorschläge, wägen sie gegeneinander ab, einigen sich kritisch-konstruktiv gemeinsam auf </w:t>
            </w:r>
            <w:proofErr w:type="gramStart"/>
            <w:r>
              <w:rPr>
                <w:highlight w:val="red"/>
              </w:rPr>
              <w:t>eine  Variante</w:t>
            </w:r>
            <w:proofErr w:type="gramEnd"/>
            <w:r>
              <w:rPr>
                <w:highlight w:val="red"/>
              </w:rPr>
              <w:t xml:space="preserve"> und vertreten diese nach außen.</w:t>
            </w:r>
          </w:p>
        </w:tc>
        <w:tc>
          <w:tcPr>
            <w:tcW w:w="3600" w:type="dxa"/>
          </w:tcPr>
          <w:p w:rsidR="000A1068" w:rsidRDefault="00A05390">
            <w:r>
              <w:t>BBP:</w:t>
            </w:r>
          </w:p>
          <w:p w:rsidR="000A1068" w:rsidRDefault="00A05390">
            <w:r>
              <w:t xml:space="preserve">2. f) </w:t>
            </w:r>
            <w:r>
              <w:t xml:space="preserve">Arbeitsabläufe unter Berücksichtigung ergonomischer, ökologischer und </w:t>
            </w:r>
            <w:proofErr w:type="gramStart"/>
            <w:r>
              <w:t>ökonomischer  Gesichtspunkte</w:t>
            </w:r>
            <w:proofErr w:type="gramEnd"/>
            <w:r>
              <w:t xml:space="preserve"> festl</w:t>
            </w:r>
            <w:r>
              <w:t>egen und vorbereiten</w:t>
            </w:r>
          </w:p>
          <w:p w:rsidR="000A1068" w:rsidRDefault="00A05390">
            <w:r>
              <w:t xml:space="preserve">2. g) </w:t>
            </w:r>
            <w:r>
              <w:t>digitale Endgeräte für die Planung und Durchführung der eigenen Arbeitsschritte nutzen</w:t>
            </w:r>
          </w:p>
          <w:p w:rsidR="000A1068" w:rsidRDefault="00A05390">
            <w:r>
              <w:t xml:space="preserve">2. i) </w:t>
            </w:r>
            <w:r>
              <w:t>Aufgaben im Team planen, mit weiteren Beteiligten abstimmen ..., Ergebnisse der Zusammenarbeit auswerten</w:t>
            </w:r>
          </w:p>
          <w:p w:rsidR="000A1068" w:rsidRDefault="00A05390">
            <w:r>
              <w:t xml:space="preserve">5. g) </w:t>
            </w:r>
            <w:r>
              <w:t xml:space="preserve">Bedarf an Baustoffen und </w:t>
            </w:r>
            <w:proofErr w:type="spellStart"/>
            <w:proofErr w:type="gramStart"/>
            <w:r>
              <w:t>Bauhilfsstoffen</w:t>
            </w:r>
            <w:proofErr w:type="spellEnd"/>
            <w:r>
              <w:t>,  Fertigteilen</w:t>
            </w:r>
            <w:proofErr w:type="gramEnd"/>
            <w:r>
              <w:t xml:space="preserve"> sowie Ein- und Anbauteilen ermitteln, diese anfordern und bereitstellen</w:t>
            </w:r>
          </w:p>
          <w:p w:rsidR="000A1068" w:rsidRDefault="00A05390">
            <w:r>
              <w:t>6. f) m</w:t>
            </w:r>
            <w:r>
              <w:t>aßstabgerechte Zeichnungen erstellen</w:t>
            </w:r>
          </w:p>
          <w:p w:rsidR="000A1068" w:rsidRDefault="00A05390">
            <w:r>
              <w:t>6. g) d</w:t>
            </w:r>
            <w:r>
              <w:t>igitale Endgeräte verwenden, branchenübliche Software nutzen</w:t>
            </w:r>
          </w:p>
          <w:p w:rsidR="000A1068" w:rsidRDefault="00A05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8. r) Betone nach Verwendungszweck und Ei</w:t>
            </w:r>
            <w:r>
              <w:rPr>
                <w:rFonts w:ascii="Calibri" w:eastAsia="Calibri" w:hAnsi="Calibri" w:cs="Calibri"/>
                <w:color w:val="000000"/>
              </w:rPr>
              <w:t>genschaften, insbesondere Expositionsklassen und Druckfestigkeitsklassen, unterscheiden</w:t>
            </w:r>
          </w:p>
        </w:tc>
        <w:tc>
          <w:tcPr>
            <w:tcW w:w="2610" w:type="dxa"/>
          </w:tcPr>
          <w:p w:rsidR="000A1068" w:rsidRDefault="00A05390">
            <w:r>
              <w:t xml:space="preserve">N: Wiederverwendung und Pflege von Schalmaterial, Recycling </w:t>
            </w:r>
          </w:p>
          <w:p w:rsidR="000A1068" w:rsidRDefault="00A05390">
            <w:r>
              <w:t>D: Materialliste digital</w:t>
            </w:r>
          </w:p>
        </w:tc>
      </w:tr>
      <w:tr w:rsidR="000A1068">
        <w:trPr>
          <w:trHeight w:val="624"/>
        </w:trPr>
        <w:tc>
          <w:tcPr>
            <w:tcW w:w="2551" w:type="dxa"/>
          </w:tcPr>
          <w:p w:rsidR="000A1068" w:rsidRDefault="00A05390">
            <w:pPr>
              <w:rPr>
                <w:rFonts w:ascii="Arial" w:eastAsia="Times New Roman" w:hAnsi="Arial" w:cs="Arial"/>
                <w:sz w:val="24"/>
                <w:szCs w:val="24"/>
                <w:highlight w:val="red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highlight w:val="red"/>
                <w:u w:val="single"/>
              </w:rPr>
              <w:t>Entscheiden:</w:t>
            </w:r>
          </w:p>
        </w:tc>
        <w:tc>
          <w:tcPr>
            <w:tcW w:w="5811" w:type="dxa"/>
          </w:tcPr>
          <w:p w:rsidR="000A1068" w:rsidRDefault="00A0539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highlight w:val="red"/>
              </w:rPr>
              <w:t>ie</w:t>
            </w:r>
            <w:proofErr w:type="spellEnd"/>
            <w:r>
              <w:rPr>
                <w:highlight w:val="red"/>
              </w:rPr>
              <w:t xml:space="preserve"> Schülerinnen und Schüler entscheiden sich für ein Deckenschalungssystem </w:t>
            </w:r>
            <w:r>
              <w:t xml:space="preserve">und </w:t>
            </w:r>
            <w:r>
              <w:rPr>
                <w:highlight w:val="yellow"/>
              </w:rPr>
              <w:t>erstellen eine Schalungsplanung (Schalplan, Materialliste, Arbeitsablauf unter besonderer Berücksichtigung der Arbeitssicherheit).</w:t>
            </w:r>
            <w:r>
              <w:rPr>
                <w:highlight w:val="white"/>
              </w:rPr>
              <w:t xml:space="preserve"> </w:t>
            </w:r>
            <w:r>
              <w:rPr>
                <w:highlight w:val="yellow"/>
              </w:rPr>
              <w:t xml:space="preserve">Sie leiten das statische System der Decke ab </w:t>
            </w:r>
            <w:r>
              <w:t>u</w:t>
            </w:r>
            <w:r>
              <w:t xml:space="preserve">nd </w:t>
            </w:r>
            <w:r>
              <w:rPr>
                <w:highlight w:val="yellow"/>
              </w:rPr>
              <w:t xml:space="preserve">planen die Bewehrung der Massivdecke (Bewehrungszeichnung mit Stahlauszug, Schneideskizze). </w:t>
            </w:r>
            <w:r>
              <w:t xml:space="preserve">Die Schülerinnen und Schüler </w:t>
            </w:r>
            <w:r>
              <w:rPr>
                <w:highlight w:val="yellow"/>
              </w:rPr>
              <w:t>planen die Betonzusammensetzung und ermitteln die erforderlichen Mengen an Zement, Gesteinskörnung und Wasser.</w:t>
            </w:r>
            <w:r>
              <w:t xml:space="preserve"> </w:t>
            </w:r>
            <w:r>
              <w:rPr>
                <w:highlight w:val="red"/>
              </w:rPr>
              <w:t>Für die Nachbehandlun</w:t>
            </w:r>
            <w:r>
              <w:rPr>
                <w:highlight w:val="red"/>
              </w:rPr>
              <w:t xml:space="preserve">g </w:t>
            </w:r>
            <w:proofErr w:type="gramStart"/>
            <w:r>
              <w:rPr>
                <w:highlight w:val="red"/>
              </w:rPr>
              <w:t>der  Decke</w:t>
            </w:r>
            <w:proofErr w:type="gramEnd"/>
            <w:r>
              <w:rPr>
                <w:highlight w:val="red"/>
              </w:rPr>
              <w:t xml:space="preserve"> wählen und begründen sie ein </w:t>
            </w:r>
            <w:r>
              <w:rPr>
                <w:highlight w:val="red"/>
              </w:rPr>
              <w:lastRenderedPageBreak/>
              <w:t>Verfahren.</w:t>
            </w:r>
            <w:r>
              <w:t xml:space="preserve"> </w:t>
            </w:r>
            <w:r>
              <w:rPr>
                <w:highlight w:val="red"/>
              </w:rPr>
              <w:t xml:space="preserve">Sie diskutieren einzelne Lösungsvorschläge, wägen sie gegeneinander ab, einigen sich kritisch-konstruktiv gemeinsam auf </w:t>
            </w:r>
            <w:proofErr w:type="gramStart"/>
            <w:r>
              <w:rPr>
                <w:highlight w:val="red"/>
              </w:rPr>
              <w:t>eine  Variante</w:t>
            </w:r>
            <w:proofErr w:type="gramEnd"/>
            <w:r>
              <w:rPr>
                <w:highlight w:val="red"/>
              </w:rPr>
              <w:t xml:space="preserve"> und vertreten diese nach außen.</w:t>
            </w:r>
          </w:p>
        </w:tc>
        <w:tc>
          <w:tcPr>
            <w:tcW w:w="3600" w:type="dxa"/>
          </w:tcPr>
          <w:p w:rsidR="000A1068" w:rsidRDefault="00A05390">
            <w:r>
              <w:lastRenderedPageBreak/>
              <w:t>BBP:</w:t>
            </w:r>
          </w:p>
          <w:p w:rsidR="000A1068" w:rsidRDefault="00A05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53" w:lineRule="atLeast"/>
            </w:pPr>
            <w:r>
              <w:rPr>
                <w:rFonts w:ascii="Calibri" w:eastAsia="Calibri" w:hAnsi="Calibri" w:cs="Calibri"/>
                <w:color w:val="000000"/>
              </w:rPr>
              <w:t>8. n) Betonstahl nach Kennzeich</w:t>
            </w:r>
            <w:r>
              <w:rPr>
                <w:rFonts w:ascii="Calibri" w:eastAsia="Calibri" w:hAnsi="Calibri" w:cs="Calibri"/>
                <w:color w:val="000000"/>
              </w:rPr>
              <w:t>nung, Form und Eigenschaften unterscheiden und auswählen</w:t>
            </w:r>
          </w:p>
          <w:p w:rsidR="000A1068" w:rsidRDefault="000A1068"/>
        </w:tc>
        <w:tc>
          <w:tcPr>
            <w:tcW w:w="2610" w:type="dxa"/>
          </w:tcPr>
          <w:p w:rsidR="000A1068" w:rsidRDefault="000A1068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068">
        <w:trPr>
          <w:trHeight w:val="624"/>
        </w:trPr>
        <w:tc>
          <w:tcPr>
            <w:tcW w:w="2551" w:type="dxa"/>
          </w:tcPr>
          <w:p w:rsidR="000A1068" w:rsidRDefault="00A05390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811" w:type="dxa"/>
          </w:tcPr>
          <w:p w:rsidR="000A1068" w:rsidRDefault="00A05390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Die Schülerinnen und Schüler messen die Decke ein, erstellen die Schalungskonstruktionen und bewehren nach Plan. Sie betonieren die Massivdecke (Betonverarbeitung, </w:t>
            </w:r>
            <w:proofErr w:type="gramStart"/>
            <w:r>
              <w:t>Fallhöhen,  Ausscha</w:t>
            </w:r>
            <w:r>
              <w:t>lfristen</w:t>
            </w:r>
            <w:proofErr w:type="gramEnd"/>
            <w:r>
              <w:t xml:space="preserve">) und führen die Nachbehandlung durch. Sie beachten die Vorschriften zur Sicherheit am Arbeitsplatz, die Unfallverhütungsvorschriften sowie Möglichkeiten nachhaltigen Bauens zur Vermeidung betriebsbedingter Belastungen für Umwelt und Gesellschaft </w:t>
            </w:r>
            <w:proofErr w:type="gramStart"/>
            <w:r>
              <w:t>i</w:t>
            </w:r>
            <w:r>
              <w:t>m  eigenen</w:t>
            </w:r>
            <w:proofErr w:type="gramEnd"/>
            <w:r>
              <w:t xml:space="preserve"> Aufgabenbereich (Umgang mit Trennmitteln, Entsorgung, Recycling, Pflege von  Werkzeugen und Schalungen).</w:t>
            </w:r>
          </w:p>
        </w:tc>
        <w:tc>
          <w:tcPr>
            <w:tcW w:w="3600" w:type="dxa"/>
          </w:tcPr>
          <w:p w:rsidR="000A1068" w:rsidRDefault="00A05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BBP:</w:t>
            </w:r>
          </w:p>
          <w:p w:rsidR="000A1068" w:rsidRDefault="00A05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 xml:space="preserve">3. s) </w:t>
            </w:r>
            <w:r>
              <w:t xml:space="preserve">Maßnahmen zum Schutz von Personen </w:t>
            </w:r>
            <w:proofErr w:type="gramStart"/>
            <w:r>
              <w:t>auf  Baustellen</w:t>
            </w:r>
            <w:proofErr w:type="gramEnd"/>
            <w:r>
              <w:t xml:space="preserve"> ergreifen </w:t>
            </w:r>
          </w:p>
          <w:p w:rsidR="000A1068" w:rsidRDefault="00A05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t xml:space="preserve">3. t) </w:t>
            </w:r>
            <w:r>
              <w:t>Baustellensicherungsmaßnahmen durchführen</w:t>
            </w:r>
          </w:p>
          <w:p w:rsidR="000A1068" w:rsidRDefault="00A05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t>3. w) L</w:t>
            </w:r>
            <w:r>
              <w:t>astaufnahme- und Anschlagmittel unterscheiden, auswählen, überprüfen und einsetzen</w:t>
            </w:r>
          </w:p>
          <w:p w:rsidR="000A1068" w:rsidRDefault="00A05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t>4. c) M</w:t>
            </w:r>
            <w:r>
              <w:t xml:space="preserve">aschinen auswählen, einrichten, </w:t>
            </w:r>
            <w:proofErr w:type="gramStart"/>
            <w:r>
              <w:t>bedienen,  pflegen</w:t>
            </w:r>
            <w:proofErr w:type="gramEnd"/>
            <w:r>
              <w:t xml:space="preserve"> und warten </w:t>
            </w:r>
          </w:p>
          <w:p w:rsidR="000A1068" w:rsidRDefault="00A05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t>6. g) dig</w:t>
            </w:r>
            <w:r>
              <w:t>itale Endgeräte verwenden, branchenübliche Software nutzen</w:t>
            </w:r>
          </w:p>
          <w:p w:rsidR="000A1068" w:rsidRDefault="00A05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t xml:space="preserve">7. f) </w:t>
            </w:r>
            <w:r>
              <w:t>Bauwerke einmessen und abstecken</w:t>
            </w:r>
          </w:p>
          <w:p w:rsidR="000A1068" w:rsidRDefault="00A05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t xml:space="preserve">7. g) </w:t>
            </w:r>
            <w:r>
              <w:t>Höhen-, Lage-, Längen-, Richtungs- und Winkelmessungen, auch digital durchführen</w:t>
            </w:r>
          </w:p>
          <w:p w:rsidR="000A1068" w:rsidRDefault="00A05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8. h) Schalungen für Decken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aus  Systemschalungen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herstellen und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betonierfähig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aufbauen</w:t>
            </w:r>
          </w:p>
          <w:p w:rsidR="000A1068" w:rsidRDefault="00A05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8. i) Schalungen für Aussparungen herstellen und</w:t>
            </w:r>
            <w:r>
              <w:rPr>
                <w:rFonts w:ascii="Calibri" w:eastAsia="Calibri" w:hAnsi="Calibri" w:cs="Calibri"/>
                <w:color w:val="000000"/>
              </w:rPr>
              <w:t xml:space="preserve"> einbauen</w:t>
            </w:r>
          </w:p>
          <w:p w:rsidR="000A1068" w:rsidRDefault="00A05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8. o) Bewehrungen, insbesondere aus Betonstabstahl und Betonstahlmatten, für rechteckige Baukörper herstellen und unter Einhaltung der Betondeckung einbauen</w:t>
            </w:r>
          </w:p>
          <w:p w:rsidR="000A1068" w:rsidRDefault="00A05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 xml:space="preserve">8. p) Bewehrungseinheiten vorfertigen und insbesondere unter Einhaltung der Betondeckung </w:t>
            </w:r>
            <w:r>
              <w:rPr>
                <w:rFonts w:ascii="Calibri" w:eastAsia="Calibri" w:hAnsi="Calibri" w:cs="Calibri"/>
                <w:color w:val="000000"/>
              </w:rPr>
              <w:t>einbauen</w:t>
            </w:r>
          </w:p>
          <w:p w:rsidR="000A1068" w:rsidRDefault="00A05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8. v) Beton mit Maschinen fördern, einbringen und verdichten</w:t>
            </w:r>
          </w:p>
          <w:p w:rsidR="000A1068" w:rsidRDefault="00A05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610" w:type="dxa"/>
          </w:tcPr>
          <w:p w:rsidR="000A1068" w:rsidRPr="00812C28" w:rsidRDefault="00A05390">
            <w:pPr>
              <w:spacing w:after="200" w:line="276" w:lineRule="auto"/>
              <w:rPr>
                <w:rFonts w:eastAsia="Arial" w:cstheme="minorHAnsi"/>
                <w:szCs w:val="24"/>
              </w:rPr>
            </w:pPr>
            <w:r w:rsidRPr="00812C28">
              <w:rPr>
                <w:rFonts w:eastAsia="Arial" w:cstheme="minorHAnsi"/>
                <w:szCs w:val="24"/>
              </w:rPr>
              <w:lastRenderedPageBreak/>
              <w:t>LOK: In Absprache mit überbetrieblicher Ausbildungsstätte</w:t>
            </w:r>
          </w:p>
          <w:p w:rsidR="000A1068" w:rsidRPr="00812C28" w:rsidRDefault="00A05390">
            <w:pPr>
              <w:spacing w:after="200" w:line="276" w:lineRule="auto"/>
              <w:rPr>
                <w:rFonts w:eastAsia="Arial" w:cstheme="minorHAnsi"/>
                <w:szCs w:val="24"/>
              </w:rPr>
            </w:pPr>
            <w:r w:rsidRPr="00812C28">
              <w:rPr>
                <w:rFonts w:eastAsia="Arial" w:cstheme="minorHAnsi"/>
                <w:szCs w:val="24"/>
              </w:rPr>
              <w:t>N: Baustoffrecycling</w:t>
            </w:r>
          </w:p>
          <w:p w:rsidR="000A1068" w:rsidRDefault="00A05390">
            <w:pPr>
              <w:spacing w:after="200" w:line="276" w:lineRule="auto"/>
              <w:rPr>
                <w:rFonts w:ascii="Arial" w:eastAsia="Arial" w:hAnsi="Arial" w:cs="Arial"/>
                <w:szCs w:val="24"/>
              </w:rPr>
            </w:pPr>
            <w:r w:rsidRPr="00812C28">
              <w:rPr>
                <w:rFonts w:eastAsia="Arial" w:cstheme="minorHAnsi"/>
                <w:szCs w:val="24"/>
              </w:rPr>
              <w:t>D: digitale Messgeräte</w:t>
            </w:r>
          </w:p>
        </w:tc>
      </w:tr>
      <w:tr w:rsidR="000A1068">
        <w:trPr>
          <w:trHeight w:val="624"/>
        </w:trPr>
        <w:tc>
          <w:tcPr>
            <w:tcW w:w="2551" w:type="dxa"/>
          </w:tcPr>
          <w:p w:rsidR="000A1068" w:rsidRDefault="00A05390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811" w:type="dxa"/>
          </w:tcPr>
          <w:p w:rsidR="000A1068" w:rsidRDefault="00A05390">
            <w:pPr>
              <w:rPr>
                <w:rFonts w:ascii="Arial" w:hAnsi="Arial" w:cs="Arial"/>
                <w:sz w:val="24"/>
                <w:szCs w:val="24"/>
              </w:rPr>
            </w:pPr>
            <w:r>
              <w:t>Die Schülerinnen und Schüler prüfen und beurteilen die Qualität der hergestellten Massivdecken und vergleichen diese mit den vorgegebenen Parametern (Auftrag, Bauplanung, Regelwerk).</w:t>
            </w:r>
          </w:p>
        </w:tc>
        <w:tc>
          <w:tcPr>
            <w:tcW w:w="3600" w:type="dxa"/>
          </w:tcPr>
          <w:p w:rsidR="000A1068" w:rsidRDefault="00A05390">
            <w:r>
              <w:t>BBP:</w:t>
            </w:r>
          </w:p>
          <w:p w:rsidR="000A1068" w:rsidRDefault="00A05390">
            <w:r>
              <w:t xml:space="preserve">5. h) Baustoffe und </w:t>
            </w:r>
            <w:proofErr w:type="spellStart"/>
            <w:r>
              <w:t>Bauhilfsstoffe</w:t>
            </w:r>
            <w:proofErr w:type="spellEnd"/>
            <w:r>
              <w:t xml:space="preserve">, ... </w:t>
            </w:r>
            <w:proofErr w:type="gramStart"/>
            <w:r>
              <w:t>sowie  Ein</w:t>
            </w:r>
            <w:proofErr w:type="gramEnd"/>
            <w:r>
              <w:t>- und Anbauteile a</w:t>
            </w:r>
            <w:r>
              <w:t>uf Vollständigkeit, Beschädigung und Maßhaltigkeit prüfen, Ergebnisse dokumentieren und bei Abweichungen  Maßnahmen ergreifen</w:t>
            </w:r>
          </w:p>
        </w:tc>
        <w:tc>
          <w:tcPr>
            <w:tcW w:w="2610" w:type="dxa"/>
          </w:tcPr>
          <w:p w:rsidR="000A1068" w:rsidRDefault="00A0539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0A1068">
        <w:trPr>
          <w:trHeight w:val="624"/>
        </w:trPr>
        <w:tc>
          <w:tcPr>
            <w:tcW w:w="2551" w:type="dxa"/>
          </w:tcPr>
          <w:p w:rsidR="000A1068" w:rsidRDefault="00A05390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811" w:type="dxa"/>
          </w:tcPr>
          <w:p w:rsidR="000A1068" w:rsidRDefault="00A05390">
            <w:pPr>
              <w:rPr>
                <w:rFonts w:ascii="Arial" w:hAnsi="Arial" w:cs="Arial"/>
                <w:sz w:val="24"/>
                <w:szCs w:val="24"/>
              </w:rPr>
            </w:pPr>
            <w:r>
              <w:t>Die Schülerinnen und Schüler reflektieren kooperativ den Herstellungsprozess und beschreiben die Vor- u</w:t>
            </w:r>
            <w:r>
              <w:t xml:space="preserve">nd Nachteile der monolithischen Betonbauweise. Sie bewerten die eingesetzten Materialien hinsichtlich wirtschaftlicher, umweltverträglicher und sozialer </w:t>
            </w:r>
            <w:proofErr w:type="gramStart"/>
            <w:r>
              <w:t>Aspekte  der</w:t>
            </w:r>
            <w:proofErr w:type="gramEnd"/>
            <w:r>
              <w:t xml:space="preserve"> Nachhaltigkeit und ziehen Alternativen in Betracht.</w:t>
            </w:r>
          </w:p>
        </w:tc>
        <w:tc>
          <w:tcPr>
            <w:tcW w:w="3600" w:type="dxa"/>
          </w:tcPr>
          <w:p w:rsidR="000A1068" w:rsidRDefault="00A05390">
            <w:r>
              <w:t>BBP:</w:t>
            </w:r>
          </w:p>
          <w:p w:rsidR="000A1068" w:rsidRDefault="00A05390">
            <w:r>
              <w:t xml:space="preserve">15. d) </w:t>
            </w:r>
            <w:r>
              <w:t xml:space="preserve">Arbeitsergebnisse dokumentieren und </w:t>
            </w:r>
            <w:proofErr w:type="gramStart"/>
            <w:r>
              <w:t>von anderen erbracht</w:t>
            </w:r>
            <w:bookmarkStart w:id="0" w:name="_GoBack"/>
            <w:bookmarkEnd w:id="0"/>
            <w:r>
              <w:t>e Leistungen</w:t>
            </w:r>
            <w:proofErr w:type="gramEnd"/>
            <w:r>
              <w:t xml:space="preserve"> berücksichtigen</w:t>
            </w:r>
          </w:p>
          <w:p w:rsidR="000A1068" w:rsidRDefault="00A05390">
            <w:r>
              <w:t>15. g) Ve</w:t>
            </w:r>
            <w:r>
              <w:t>rbesserung der Arbeit im eigenen Arbeitsbereich beitragen</w:t>
            </w:r>
          </w:p>
        </w:tc>
        <w:tc>
          <w:tcPr>
            <w:tcW w:w="2610" w:type="dxa"/>
          </w:tcPr>
          <w:p w:rsidR="000A1068" w:rsidRPr="00812C28" w:rsidRDefault="00A05390">
            <w:pPr>
              <w:spacing w:after="200" w:line="276" w:lineRule="auto"/>
              <w:rPr>
                <w:rFonts w:cstheme="minorHAnsi"/>
              </w:rPr>
            </w:pPr>
            <w:r w:rsidRPr="00812C28">
              <w:rPr>
                <w:rFonts w:cstheme="minorHAnsi"/>
                <w:szCs w:val="24"/>
              </w:rPr>
              <w:t>N: Überprüfung der Nachhaltigkeit der Konstruktion</w:t>
            </w:r>
          </w:p>
          <w:p w:rsidR="000A1068" w:rsidRDefault="000A106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1068" w:rsidRDefault="000A1068">
      <w:pPr>
        <w:spacing w:after="0" w:line="240" w:lineRule="auto"/>
        <w:rPr>
          <w:sz w:val="24"/>
          <w:szCs w:val="24"/>
        </w:rPr>
      </w:pPr>
    </w:p>
    <w:sectPr w:rsidR="000A106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068" w:rsidRDefault="00A05390">
      <w:pPr>
        <w:spacing w:after="0" w:line="240" w:lineRule="auto"/>
      </w:pPr>
      <w:r>
        <w:separator/>
      </w:r>
    </w:p>
  </w:endnote>
  <w:endnote w:type="continuationSeparator" w:id="0">
    <w:p w:rsidR="000A1068" w:rsidRDefault="00A0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068" w:rsidRDefault="00A05390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</w:rPr>
      <w:t>KMK-Dokumentationsraster</w:t>
    </w:r>
    <w:r>
      <w:rPr>
        <w:rFonts w:ascii="Arial" w:eastAsia="Calibri" w:hAnsi="Arial" w:cs="Arial"/>
        <w:sz w:val="20"/>
      </w:rPr>
      <w:tab/>
      <w:t xml:space="preserve">Seite </w:t>
    </w:r>
    <w:r>
      <w:rPr>
        <w:rFonts w:ascii="Arial" w:eastAsia="Calibri" w:hAnsi="Arial" w:cs="Arial"/>
        <w:bCs/>
        <w:sz w:val="20"/>
      </w:rPr>
      <w:fldChar w:fldCharType="begin"/>
    </w:r>
    <w:r>
      <w:rPr>
        <w:rFonts w:ascii="Arial" w:eastAsia="Calibri" w:hAnsi="Arial" w:cs="Arial"/>
        <w:bCs/>
        <w:sz w:val="20"/>
      </w:rPr>
      <w:instrText>PAGE  \* Arabic  \* MERGEFORMAT</w:instrText>
    </w:r>
    <w:r>
      <w:rPr>
        <w:rFonts w:ascii="Arial" w:eastAsia="Calibri" w:hAnsi="Arial" w:cs="Arial"/>
        <w:bCs/>
        <w:sz w:val="20"/>
      </w:rPr>
      <w:fldChar w:fldCharType="separate"/>
    </w:r>
    <w:r>
      <w:rPr>
        <w:rFonts w:ascii="Arial" w:eastAsia="Calibri" w:hAnsi="Arial" w:cs="Arial"/>
        <w:bCs/>
        <w:sz w:val="20"/>
      </w:rPr>
      <w:t>1</w:t>
    </w:r>
    <w:r>
      <w:rPr>
        <w:rFonts w:ascii="Arial" w:eastAsia="Calibri" w:hAnsi="Arial" w:cs="Arial"/>
        <w:bCs/>
        <w:sz w:val="20"/>
      </w:rPr>
      <w:fldChar w:fldCharType="end"/>
    </w:r>
    <w:r>
      <w:rPr>
        <w:rFonts w:ascii="Arial" w:eastAsia="Calibri" w:hAnsi="Arial" w:cs="Arial"/>
        <w:sz w:val="20"/>
      </w:rPr>
      <w:t xml:space="preserve"> von </w:t>
    </w:r>
    <w:r>
      <w:rPr>
        <w:rFonts w:ascii="Arial" w:eastAsia="Calibri" w:hAnsi="Arial" w:cs="Arial"/>
        <w:bCs/>
        <w:sz w:val="20"/>
      </w:rPr>
      <w:fldChar w:fldCharType="begin"/>
    </w:r>
    <w:r>
      <w:rPr>
        <w:rFonts w:ascii="Arial" w:eastAsia="Calibri" w:hAnsi="Arial" w:cs="Arial"/>
        <w:bCs/>
        <w:sz w:val="20"/>
      </w:rPr>
      <w:instrText>NUMPAGES  \* Arabic  \* MERGEFORMAT</w:instrText>
    </w:r>
    <w:r>
      <w:rPr>
        <w:rFonts w:ascii="Arial" w:eastAsia="Calibri" w:hAnsi="Arial" w:cs="Arial"/>
        <w:bCs/>
        <w:sz w:val="20"/>
      </w:rPr>
      <w:fldChar w:fldCharType="separate"/>
    </w:r>
    <w:r>
      <w:rPr>
        <w:rFonts w:ascii="Arial" w:eastAsia="Calibri" w:hAnsi="Arial" w:cs="Arial"/>
        <w:bCs/>
        <w:sz w:val="20"/>
      </w:rPr>
      <w:t>1</w:t>
    </w:r>
    <w:r>
      <w:rPr>
        <w:rFonts w:ascii="Arial" w:eastAsia="Calibri" w:hAnsi="Arial" w:cs="Arial"/>
        <w:bCs/>
        <w:sz w:val="20"/>
      </w:rPr>
      <w:fldChar w:fldCharType="end"/>
    </w:r>
    <w:r>
      <w:rPr>
        <w:rFonts w:ascii="Arial" w:eastAsia="Calibri" w:hAnsi="Arial" w:cs="Arial"/>
        <w:bCs/>
        <w:sz w:val="20"/>
      </w:rPr>
      <w:tab/>
    </w:r>
    <w:r>
      <w:rPr>
        <w:rFonts w:ascii="Arial" w:eastAsia="Calibri" w:hAnsi="Arial" w:cs="Arial"/>
        <w:sz w:val="20"/>
        <w:szCs w:val="20"/>
      </w:rPr>
      <w:fldChar w:fldCharType="begin"/>
    </w:r>
    <w:r>
      <w:rPr>
        <w:rFonts w:ascii="Arial" w:eastAsia="Calibri" w:hAnsi="Arial" w:cs="Arial"/>
        <w:sz w:val="20"/>
        <w:szCs w:val="20"/>
      </w:rPr>
      <w:fldChar w:fldCharType="begin"/>
    </w:r>
    <w:r>
      <w:rPr>
        <w:rFonts w:ascii="Arial" w:eastAsia="Calibri" w:hAnsi="Arial" w:cs="Arial"/>
        <w:sz w:val="20"/>
        <w:szCs w:val="20"/>
      </w:rPr>
      <w:instrText xml:space="preserve"> page </w:instrText>
    </w:r>
    <w:r>
      <w:rPr>
        <w:rFonts w:ascii="Arial" w:eastAsia="Calibri" w:hAnsi="Arial" w:cs="Arial"/>
        <w:sz w:val="20"/>
        <w:szCs w:val="20"/>
      </w:rPr>
      <w:fldChar w:fldCharType="separate"/>
    </w:r>
    <w:r>
      <w:rPr>
        <w:rFonts w:ascii="Arial" w:eastAsia="Calibri" w:hAnsi="Arial" w:cs="Arial"/>
        <w:noProof/>
        <w:sz w:val="20"/>
        <w:szCs w:val="20"/>
      </w:rPr>
      <w:instrText>4</w:instrText>
    </w:r>
    <w:r>
      <w:rPr>
        <w:rFonts w:ascii="Arial" w:eastAsia="Calibri" w:hAnsi="Arial" w:cs="Arial"/>
        <w:sz w:val="20"/>
        <w:szCs w:val="20"/>
      </w:rPr>
      <w:fldChar w:fldCharType="end"/>
    </w:r>
    <w:r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068" w:rsidRDefault="00A05390">
      <w:pPr>
        <w:spacing w:after="0" w:line="240" w:lineRule="auto"/>
      </w:pPr>
      <w:r>
        <w:separator/>
      </w:r>
    </w:p>
  </w:footnote>
  <w:footnote w:type="continuationSeparator" w:id="0">
    <w:p w:rsidR="000A1068" w:rsidRDefault="00A05390">
      <w:pPr>
        <w:spacing w:after="0" w:line="240" w:lineRule="auto"/>
      </w:pPr>
      <w:r>
        <w:continuationSeparator/>
      </w:r>
    </w:p>
  </w:footnote>
  <w:footnote w:id="1">
    <w:p w:rsidR="000A1068" w:rsidRDefault="00A05390">
      <w:pPr>
        <w:pStyle w:val="Funotentext"/>
        <w:ind w:left="142" w:hanging="142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footnoteRef/>
      </w:r>
      <w:r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(analysieren, beschreiben, erörtern etc.)</w:t>
      </w:r>
    </w:p>
  </w:footnote>
  <w:footnote w:id="2">
    <w:p w:rsidR="000A1068" w:rsidRDefault="00A05390">
      <w:pPr>
        <w:pStyle w:val="Funotentext"/>
        <w:ind w:left="142" w:hanging="142"/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Anregungen zur Berücksichtigung insbesondere von Aspekten der Digitalisi</w:t>
      </w:r>
      <w:r>
        <w:rPr>
          <w:rFonts w:ascii="Arial" w:hAnsi="Arial" w:cs="Arial"/>
        </w:rPr>
        <w:t>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068" w:rsidRDefault="00A05390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Beton- und Stahlbetonbauer und Beton- und </w:t>
    </w:r>
    <w:proofErr w:type="spellStart"/>
    <w:r>
      <w:rPr>
        <w:rFonts w:ascii="Arial" w:hAnsi="Arial" w:cs="Arial"/>
        <w:b/>
        <w:sz w:val="24"/>
        <w:szCs w:val="24"/>
      </w:rPr>
      <w:t>Stahlbetonbauerin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D67F6"/>
    <w:multiLevelType w:val="hybridMultilevel"/>
    <w:tmpl w:val="1A488FA2"/>
    <w:lvl w:ilvl="0" w:tplc="B0DA3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6E7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B82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49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A70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E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A0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6B1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96C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E6E28"/>
    <w:multiLevelType w:val="hybridMultilevel"/>
    <w:tmpl w:val="7338CD8E"/>
    <w:lvl w:ilvl="0" w:tplc="5C2A3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602A4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7E2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6A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EA3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822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A3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A73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3C4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D2947"/>
    <w:multiLevelType w:val="hybridMultilevel"/>
    <w:tmpl w:val="ACE8D880"/>
    <w:lvl w:ilvl="0" w:tplc="3F341386">
      <w:start w:val="1"/>
      <w:numFmt w:val="decimal"/>
      <w:lvlText w:val="%1."/>
      <w:lvlJc w:val="left"/>
    </w:lvl>
    <w:lvl w:ilvl="1" w:tplc="4F1C4172">
      <w:start w:val="1"/>
      <w:numFmt w:val="lowerLetter"/>
      <w:lvlText w:val="%2."/>
      <w:lvlJc w:val="left"/>
      <w:pPr>
        <w:ind w:left="1440" w:hanging="360"/>
      </w:pPr>
    </w:lvl>
    <w:lvl w:ilvl="2" w:tplc="0E50867E">
      <w:start w:val="1"/>
      <w:numFmt w:val="lowerRoman"/>
      <w:lvlText w:val="%3."/>
      <w:lvlJc w:val="right"/>
      <w:pPr>
        <w:ind w:left="2160" w:hanging="180"/>
      </w:pPr>
    </w:lvl>
    <w:lvl w:ilvl="3" w:tplc="FEDCD544">
      <w:start w:val="1"/>
      <w:numFmt w:val="decimal"/>
      <w:lvlText w:val="%4."/>
      <w:lvlJc w:val="left"/>
      <w:pPr>
        <w:ind w:left="2880" w:hanging="360"/>
      </w:pPr>
    </w:lvl>
    <w:lvl w:ilvl="4" w:tplc="45A67960">
      <w:start w:val="1"/>
      <w:numFmt w:val="lowerLetter"/>
      <w:lvlText w:val="%5."/>
      <w:lvlJc w:val="left"/>
      <w:pPr>
        <w:ind w:left="3600" w:hanging="360"/>
      </w:pPr>
    </w:lvl>
    <w:lvl w:ilvl="5" w:tplc="C2A00344">
      <w:start w:val="1"/>
      <w:numFmt w:val="lowerRoman"/>
      <w:lvlText w:val="%6."/>
      <w:lvlJc w:val="right"/>
      <w:pPr>
        <w:ind w:left="4320" w:hanging="180"/>
      </w:pPr>
    </w:lvl>
    <w:lvl w:ilvl="6" w:tplc="8794B004">
      <w:start w:val="1"/>
      <w:numFmt w:val="decimal"/>
      <w:lvlText w:val="%7."/>
      <w:lvlJc w:val="left"/>
      <w:pPr>
        <w:ind w:left="5040" w:hanging="360"/>
      </w:pPr>
    </w:lvl>
    <w:lvl w:ilvl="7" w:tplc="4036DF4C">
      <w:start w:val="1"/>
      <w:numFmt w:val="lowerLetter"/>
      <w:lvlText w:val="%8."/>
      <w:lvlJc w:val="left"/>
      <w:pPr>
        <w:ind w:left="5760" w:hanging="360"/>
      </w:pPr>
    </w:lvl>
    <w:lvl w:ilvl="8" w:tplc="0CDA76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301F9"/>
    <w:multiLevelType w:val="hybridMultilevel"/>
    <w:tmpl w:val="BF7A338C"/>
    <w:lvl w:ilvl="0" w:tplc="0FE425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EC8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5C9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CD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047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F4E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2A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296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4AC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A425C"/>
    <w:multiLevelType w:val="hybridMultilevel"/>
    <w:tmpl w:val="29E47CDE"/>
    <w:lvl w:ilvl="0" w:tplc="F0047F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8CAA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3E8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06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EC6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80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C1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C4F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847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372C5"/>
    <w:multiLevelType w:val="hybridMultilevel"/>
    <w:tmpl w:val="683AD6F0"/>
    <w:lvl w:ilvl="0" w:tplc="48E844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1E037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869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21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29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A4F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E9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C9B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161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07270"/>
    <w:multiLevelType w:val="hybridMultilevel"/>
    <w:tmpl w:val="F82C401A"/>
    <w:lvl w:ilvl="0" w:tplc="8416B2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3F0A5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88D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0C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AEE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E0A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C7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6AC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2C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4626B"/>
    <w:multiLevelType w:val="hybridMultilevel"/>
    <w:tmpl w:val="E77AE52A"/>
    <w:lvl w:ilvl="0" w:tplc="1F0A3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76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924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2C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8C2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9C6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64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407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86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47338"/>
    <w:multiLevelType w:val="hybridMultilevel"/>
    <w:tmpl w:val="F0BAC16C"/>
    <w:lvl w:ilvl="0" w:tplc="ED84853C">
      <w:start w:val="1"/>
      <w:numFmt w:val="decimal"/>
      <w:lvlText w:val="%1."/>
      <w:lvlJc w:val="left"/>
    </w:lvl>
    <w:lvl w:ilvl="1" w:tplc="BAF24A34">
      <w:start w:val="1"/>
      <w:numFmt w:val="lowerLetter"/>
      <w:lvlText w:val="%2."/>
      <w:lvlJc w:val="left"/>
      <w:pPr>
        <w:ind w:left="1440" w:hanging="360"/>
      </w:pPr>
    </w:lvl>
    <w:lvl w:ilvl="2" w:tplc="1EB21356">
      <w:start w:val="1"/>
      <w:numFmt w:val="lowerRoman"/>
      <w:lvlText w:val="%3."/>
      <w:lvlJc w:val="right"/>
      <w:pPr>
        <w:ind w:left="2160" w:hanging="180"/>
      </w:pPr>
    </w:lvl>
    <w:lvl w:ilvl="3" w:tplc="309C1C02">
      <w:start w:val="1"/>
      <w:numFmt w:val="decimal"/>
      <w:lvlText w:val="%4."/>
      <w:lvlJc w:val="left"/>
      <w:pPr>
        <w:ind w:left="2880" w:hanging="360"/>
      </w:pPr>
    </w:lvl>
    <w:lvl w:ilvl="4" w:tplc="D046C842">
      <w:start w:val="1"/>
      <w:numFmt w:val="lowerLetter"/>
      <w:lvlText w:val="%5."/>
      <w:lvlJc w:val="left"/>
      <w:pPr>
        <w:ind w:left="3600" w:hanging="360"/>
      </w:pPr>
    </w:lvl>
    <w:lvl w:ilvl="5" w:tplc="06707AB2">
      <w:start w:val="1"/>
      <w:numFmt w:val="lowerRoman"/>
      <w:lvlText w:val="%6."/>
      <w:lvlJc w:val="right"/>
      <w:pPr>
        <w:ind w:left="4320" w:hanging="180"/>
      </w:pPr>
    </w:lvl>
    <w:lvl w:ilvl="6" w:tplc="A04295B4">
      <w:start w:val="1"/>
      <w:numFmt w:val="decimal"/>
      <w:lvlText w:val="%7."/>
      <w:lvlJc w:val="left"/>
      <w:pPr>
        <w:ind w:left="5040" w:hanging="360"/>
      </w:pPr>
    </w:lvl>
    <w:lvl w:ilvl="7" w:tplc="BD92417A">
      <w:start w:val="1"/>
      <w:numFmt w:val="lowerLetter"/>
      <w:lvlText w:val="%8."/>
      <w:lvlJc w:val="left"/>
      <w:pPr>
        <w:ind w:left="5760" w:hanging="360"/>
      </w:pPr>
    </w:lvl>
    <w:lvl w:ilvl="8" w:tplc="66BCAF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46D37"/>
    <w:multiLevelType w:val="hybridMultilevel"/>
    <w:tmpl w:val="6D4C9FF4"/>
    <w:lvl w:ilvl="0" w:tplc="EF2619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30497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94D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8E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82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4AD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E5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0DB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0D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068"/>
    <w:rsid w:val="000A1068"/>
    <w:rsid w:val="00397E18"/>
    <w:rsid w:val="00812C28"/>
    <w:rsid w:val="00A0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758A4-9305-4043-9D66-681F1D3B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637E350E-2A21-4985-94B8-009B8530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herrm</cp:lastModifiedBy>
  <cp:revision>4</cp:revision>
  <dcterms:created xsi:type="dcterms:W3CDTF">2024-05-08T11:15:00Z</dcterms:created>
  <dcterms:modified xsi:type="dcterms:W3CDTF">2024-05-08T11:17:00Z</dcterms:modified>
</cp:coreProperties>
</file>