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D8" w:rsidRPr="008901D8" w:rsidRDefault="008901D8">
      <w:pPr>
        <w:spacing w:line="240" w:lineRule="auto"/>
        <w:rPr>
          <w:rFonts w:cs="Arial"/>
          <w:b/>
          <w:szCs w:val="24"/>
        </w:rPr>
      </w:pPr>
      <w:r w:rsidRPr="008901D8">
        <w:rPr>
          <w:rFonts w:cs="Arial"/>
          <w:b/>
          <w:szCs w:val="24"/>
        </w:rPr>
        <w:t>Ausbildungsberuf Maurer und Maurerin</w:t>
      </w:r>
    </w:p>
    <w:p w:rsidR="008901D8" w:rsidRDefault="008901D8">
      <w:pPr>
        <w:spacing w:line="240" w:lineRule="auto"/>
        <w:rPr>
          <w:rFonts w:cs="Arial"/>
          <w:szCs w:val="24"/>
        </w:rPr>
      </w:pPr>
    </w:p>
    <w:p w:rsidR="005833C4" w:rsidRDefault="003123BA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</w:t>
      </w:r>
      <w:r w:rsidR="008901D8">
        <w:rPr>
          <w:rFonts w:cs="Arial"/>
          <w:szCs w:val="24"/>
        </w:rPr>
        <w:t>Lernfeld 7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833C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3123BA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3123BA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3123BA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833C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8901D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3123BA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3123B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Innenwand mit einer Tür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3123B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 h</w:t>
            </w:r>
          </w:p>
        </w:tc>
      </w:tr>
      <w:tr w:rsidR="005833C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8901D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3123BA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4" w:rsidRDefault="003123B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Außenwand im Erdgeschoss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3123B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 h</w:t>
            </w:r>
          </w:p>
        </w:tc>
      </w:tr>
      <w:tr w:rsidR="005833C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8901D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3123BA">
              <w:rPr>
                <w:rFonts w:cs="Arial"/>
                <w:szCs w:val="24"/>
              </w:rPr>
              <w:t>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4" w:rsidRDefault="003123B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Stahlbetonskelett mit Wandelementen ausfachen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4" w:rsidRDefault="003123B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 h</w:t>
            </w:r>
          </w:p>
        </w:tc>
      </w:tr>
    </w:tbl>
    <w:p w:rsidR="005833C4" w:rsidRDefault="005833C4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6"/>
        <w:gridCol w:w="6776"/>
      </w:tblGrid>
      <w:tr w:rsidR="005833C4">
        <w:trPr>
          <w:trHeight w:val="1444"/>
          <w:jc w:val="center"/>
        </w:trPr>
        <w:tc>
          <w:tcPr>
            <w:tcW w:w="14572" w:type="dxa"/>
            <w:gridSpan w:val="2"/>
          </w:tcPr>
          <w:p w:rsidR="005833C4" w:rsidRDefault="003123BA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8901D8" w:rsidRPr="008901D8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:rsidR="005833C4" w:rsidRDefault="003123B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2</w:t>
            </w:r>
          </w:p>
          <w:p w:rsidR="005833C4" w:rsidRDefault="003123B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  : </w:t>
            </w:r>
            <w:r>
              <w:rPr>
                <w:rFonts w:cs="Arial"/>
              </w:rPr>
              <w:tab/>
              <w:t xml:space="preserve">7 </w:t>
            </w:r>
            <w:r w:rsidR="008901D8">
              <w:rPr>
                <w:rFonts w:cs="Arial"/>
              </w:rPr>
              <w:tab/>
            </w:r>
            <w:r w:rsidR="008901D8">
              <w:rPr>
                <w:rFonts w:cs="Arial"/>
              </w:rPr>
              <w:tab/>
              <w:t>Einschalige Wä</w:t>
            </w:r>
            <w:r>
              <w:rPr>
                <w:rFonts w:cs="Arial"/>
              </w:rPr>
              <w:t>nd</w:t>
            </w:r>
            <w:r w:rsidR="008901D8">
              <w:rPr>
                <w:rFonts w:cs="Arial"/>
              </w:rPr>
              <w:t xml:space="preserve">e mauern </w:t>
            </w:r>
            <w:r w:rsidR="008901D8">
              <w:rPr>
                <w:rFonts w:cs="Arial"/>
              </w:rPr>
              <w:tab/>
            </w:r>
            <w:r w:rsidR="008901D8">
              <w:rPr>
                <w:rFonts w:cs="Arial"/>
              </w:rPr>
              <w:tab/>
            </w:r>
            <w:r w:rsidR="008901D8">
              <w:rPr>
                <w:rFonts w:cs="Arial"/>
              </w:rPr>
              <w:tab/>
            </w:r>
            <w:r w:rsidR="008901D8">
              <w:rPr>
                <w:rFonts w:cs="Arial"/>
              </w:rPr>
              <w:tab/>
              <w:t>(60 UStd)</w:t>
            </w:r>
            <w:bookmarkStart w:id="0" w:name="_GoBack"/>
            <w:bookmarkEnd w:id="0"/>
          </w:p>
          <w:p w:rsidR="005833C4" w:rsidRDefault="003123B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</w:r>
            <w:r w:rsidR="008901D8">
              <w:rPr>
                <w:rFonts w:cs="Arial"/>
              </w:rPr>
              <w:t>7.</w:t>
            </w:r>
            <w:r>
              <w:rPr>
                <w:rFonts w:cs="Arial"/>
              </w:rPr>
              <w:t xml:space="preserve">3 </w:t>
            </w:r>
            <w:r w:rsidR="008901D8">
              <w:rPr>
                <w:rFonts w:cs="Arial"/>
              </w:rPr>
              <w:tab/>
            </w:r>
            <w:r>
              <w:rPr>
                <w:rFonts w:cs="Arial"/>
              </w:rPr>
              <w:t>Stahlbetonskelett mit Wandelementen ausfachen</w:t>
            </w:r>
            <w:r w:rsidR="008901D8">
              <w:rPr>
                <w:rFonts w:cs="Arial"/>
                <w:b/>
                <w:vertAlign w:val="superscript"/>
              </w:rPr>
              <w:t>2</w:t>
            </w:r>
            <w:r w:rsidR="008901D8">
              <w:rPr>
                <w:rFonts w:cs="Arial"/>
              </w:rPr>
              <w:tab/>
              <w:t>(12 UStd)</w:t>
            </w:r>
            <w:r w:rsidR="008901D8" w:rsidRPr="0041668E">
              <w:rPr>
                <w:rFonts w:cs="Arial"/>
                <w:b/>
                <w:vertAlign w:val="superscript"/>
              </w:rPr>
              <w:t xml:space="preserve"> </w:t>
            </w:r>
            <w:r w:rsidR="008901D8">
              <w:rPr>
                <w:rFonts w:cs="Arial"/>
                <w:b/>
                <w:vertAlign w:val="superscript"/>
              </w:rPr>
              <w:t>3</w:t>
            </w:r>
          </w:p>
        </w:tc>
      </w:tr>
      <w:tr w:rsidR="005833C4">
        <w:trPr>
          <w:jc w:val="center"/>
        </w:trPr>
        <w:tc>
          <w:tcPr>
            <w:tcW w:w="7796" w:type="dxa"/>
          </w:tcPr>
          <w:p w:rsidR="005833C4" w:rsidRDefault="003123BA">
            <w:pPr>
              <w:pStyle w:val="Tabellenberschrift"/>
            </w:pPr>
            <w:r>
              <w:t>Handlungssituation</w:t>
            </w:r>
            <w:r w:rsidR="008901D8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:rsidR="005833C4" w:rsidRDefault="005833C4">
            <w:pPr>
              <w:pStyle w:val="Tabellentext"/>
              <w:rPr>
                <w:rFonts w:cs="Arial"/>
              </w:rPr>
            </w:pPr>
          </w:p>
          <w:p w:rsidR="005833C4" w:rsidRDefault="003123BA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Eine Fertigungshalle in Stahlbetonskelettbauweise wird ausgefacht. </w:t>
            </w:r>
          </w:p>
          <w:p w:rsidR="005833C4" w:rsidRDefault="003123BA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Eine fertiggestellte Bodenplatte incl. Aufkantung und gestelltem Stahlbetonskelett mit Einbauschienen sowie ein vorhandenes Arbeitsgerüst. Dazu ist die Ausfachung mit liegenden Porenbeton-Wandelementen geplant. Erstellen Sie eine Checklisten um die Vorbere</w:t>
            </w:r>
            <w:r>
              <w:rPr>
                <w:rFonts w:cs="Arial"/>
              </w:rPr>
              <w:t>itung der Baustellensituation/Montage und die Qualität der durchzuführenden Arbeiten festzustellen.</w:t>
            </w:r>
          </w:p>
          <w:p w:rsidR="005833C4" w:rsidRDefault="005833C4">
            <w:pPr>
              <w:pStyle w:val="Tabellentext"/>
              <w:rPr>
                <w:rFonts w:cs="Arial"/>
              </w:rPr>
            </w:pPr>
          </w:p>
        </w:tc>
        <w:tc>
          <w:tcPr>
            <w:tcW w:w="6776" w:type="dxa"/>
          </w:tcPr>
          <w:p w:rsidR="005833C4" w:rsidRDefault="003123BA">
            <w:pPr>
              <w:pStyle w:val="Tabellenberschrift"/>
            </w:pPr>
            <w:r>
              <w:t>Handlungsergebnis</w:t>
            </w:r>
            <w:r w:rsidR="008901D8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:rsidR="005833C4" w:rsidRDefault="005833C4">
            <w:pPr>
              <w:pStyle w:val="Tabellenberschrift"/>
            </w:pPr>
          </w:p>
          <w:p w:rsidR="005833C4" w:rsidRDefault="003123BA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Checkliste zur Vorbereitung der Baustelle</w:t>
            </w:r>
          </w:p>
          <w:p w:rsidR="005833C4" w:rsidRDefault="003123BA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sowie zur Ausführung der Arbeiten</w:t>
            </w:r>
          </w:p>
          <w:p w:rsidR="005833C4" w:rsidRDefault="005833C4">
            <w:pPr>
              <w:pStyle w:val="Tabellenberschrift"/>
            </w:pPr>
          </w:p>
          <w:p w:rsidR="005833C4" w:rsidRDefault="005833C4">
            <w:pPr>
              <w:pStyle w:val="Tabellenberschrift"/>
            </w:pPr>
          </w:p>
          <w:p w:rsidR="005833C4" w:rsidRDefault="005833C4">
            <w:pPr>
              <w:pStyle w:val="Tabellenberschrift"/>
            </w:pPr>
          </w:p>
        </w:tc>
      </w:tr>
      <w:tr w:rsidR="005833C4">
        <w:trPr>
          <w:jc w:val="center"/>
        </w:trPr>
        <w:tc>
          <w:tcPr>
            <w:tcW w:w="7796" w:type="dxa"/>
          </w:tcPr>
          <w:p w:rsidR="005833C4" w:rsidRDefault="003123BA">
            <w:pPr>
              <w:pStyle w:val="Tabellenberschrift"/>
            </w:pPr>
            <w:r>
              <w:t>Berufliche Handlungskompetenz</w:t>
            </w:r>
            <w:r w:rsidR="008901D8">
              <w:rPr>
                <w:rFonts w:cs="Arial"/>
                <w:b w:val="0"/>
                <w:vertAlign w:val="superscript"/>
              </w:rPr>
              <w:t>6</w:t>
            </w:r>
            <w:r>
              <w:t xml:space="preserve"> a</w:t>
            </w:r>
            <w:r>
              <w:t>ls vollständige Handlung</w:t>
            </w:r>
            <w:r w:rsidR="008901D8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:rsidR="005833C4" w:rsidRDefault="003123BA">
            <w:pPr>
              <w:pStyle w:val="Tabellentext"/>
            </w:pPr>
            <w:r>
              <w:rPr>
                <w:rFonts w:cs="Arial"/>
              </w:rPr>
              <w:t>Die Schülerinnen und Schüler: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Analysieren die Arbeitsauftrag, die Planvorlagen und die Gegebenheiten auf der Baustelle. 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Informieren sich über die Aufgaben, Ausführungsvarianten und Fugenausbildung von Ausfachungen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Planen die benötigten Werkzeuge</w:t>
            </w:r>
            <w:r>
              <w:rPr>
                <w:rFonts w:cs="Arial"/>
                <w:szCs w:val="24"/>
              </w:rPr>
              <w:t>, Baumaschinen und Materialien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Entscheiden sich für eine Art der Darstellung einer Checkliste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Stellen eine Checkliste zur Prüfung der Qualität der Vorarbeiten her 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Stellen eine Checkliste zur Qualität der Ausführung her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Prüfen in Absprache mit Verantwortli</w:t>
            </w:r>
            <w:r>
              <w:rPr>
                <w:rFonts w:cs="Arial"/>
                <w:szCs w:val="24"/>
              </w:rPr>
              <w:t>chen die Verwendbarkeit der Liste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Reflektieren die Verwendbarkeit der Checkliste zur Kooperation mit anderen Gewerken und Vorgesetzten und berücksichtigen Verbesserungsvorschläge</w:t>
            </w:r>
          </w:p>
          <w:p w:rsidR="005833C4" w:rsidRDefault="003123BA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Reflektieren unter ökologischen Aspekten die Nachhaltigkeit der durchgeführte</w:t>
            </w:r>
            <w:r>
              <w:rPr>
                <w:rFonts w:cs="Arial"/>
                <w:szCs w:val="24"/>
              </w:rPr>
              <w:t>n Arbeiten</w:t>
            </w:r>
          </w:p>
          <w:p w:rsidR="005833C4" w:rsidRDefault="005833C4">
            <w:pPr>
              <w:rPr>
                <w:rFonts w:cs="Arial"/>
                <w:szCs w:val="24"/>
              </w:rPr>
            </w:pPr>
          </w:p>
        </w:tc>
        <w:tc>
          <w:tcPr>
            <w:tcW w:w="6776" w:type="dxa"/>
          </w:tcPr>
          <w:p w:rsidR="005833C4" w:rsidRDefault="003123BA">
            <w:pPr>
              <w:pStyle w:val="Tabellenberschrift"/>
            </w:pPr>
            <w:r>
              <w:lastRenderedPageBreak/>
              <w:t>Konkretisierung der Inhalte</w:t>
            </w:r>
            <w:r w:rsidR="008901D8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:rsidR="005833C4" w:rsidRDefault="003123BA">
            <w:pPr>
              <w:pStyle w:val="Tabellenspiegelstrich"/>
              <w:jc w:val="left"/>
            </w:pPr>
            <w:r>
              <w:t>Anschlüsse beim Stahlbetonskelett</w:t>
            </w:r>
          </w:p>
          <w:p w:rsidR="005833C4" w:rsidRDefault="003123BA">
            <w:pPr>
              <w:pStyle w:val="Tabellenspiegelstrich"/>
              <w:jc w:val="left"/>
            </w:pPr>
            <w:r>
              <w:t>Lagerfugen und Stoßfugen der Wandelemente</w:t>
            </w:r>
          </w:p>
          <w:p w:rsidR="005833C4" w:rsidRDefault="003123BA">
            <w:pPr>
              <w:pStyle w:val="Tabellenspiegelstrich"/>
              <w:jc w:val="left"/>
            </w:pPr>
            <w:r>
              <w:t>Sicherheitsvorschriften an Arbeitsgerüsten</w:t>
            </w:r>
          </w:p>
          <w:p w:rsidR="005833C4" w:rsidRDefault="003123BA">
            <w:pPr>
              <w:pStyle w:val="Tabellenspiegelstrich"/>
              <w:jc w:val="left"/>
            </w:pPr>
            <w:r>
              <w:t>Verlegemöglichkeiten für Wandelemente (Anschlagmittel)</w:t>
            </w:r>
          </w:p>
          <w:p w:rsidR="005833C4" w:rsidRDefault="003123BA">
            <w:pPr>
              <w:pStyle w:val="Tabellenspiegelstrich"/>
              <w:jc w:val="left"/>
            </w:pPr>
            <w:r>
              <w:t>Arbeitsvorbereitung für die Anlieferung und Entladung der Wandelemente</w:t>
            </w:r>
          </w:p>
          <w:p w:rsidR="005833C4" w:rsidRDefault="003123BA">
            <w:pPr>
              <w:pStyle w:val="Tabellenspiegelstrich"/>
              <w:jc w:val="left"/>
            </w:pPr>
            <w:r>
              <w:t>Qualität der Vorarbeiten (Maßhaltigkeit, Vollständigkeit der Anschlussteile, Betonoberfläche)</w:t>
            </w:r>
          </w:p>
          <w:p w:rsidR="005833C4" w:rsidRDefault="003123BA">
            <w:pPr>
              <w:pStyle w:val="Tabellenspiegelstrich"/>
              <w:jc w:val="left"/>
            </w:pPr>
            <w:r>
              <w:t xml:space="preserve">Digitale Gestaltung der Listen </w:t>
            </w:r>
          </w:p>
          <w:p w:rsidR="005833C4" w:rsidRDefault="005833C4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5833C4">
        <w:trPr>
          <w:jc w:val="center"/>
        </w:trPr>
        <w:tc>
          <w:tcPr>
            <w:tcW w:w="14572" w:type="dxa"/>
            <w:gridSpan w:val="2"/>
          </w:tcPr>
          <w:p w:rsidR="005833C4" w:rsidRDefault="003123BA">
            <w:pPr>
              <w:pStyle w:val="Tabellenberschrift"/>
            </w:pPr>
            <w:r>
              <w:t>Didaktisch-methodische Anregungen</w:t>
            </w:r>
            <w:r w:rsidR="008901D8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5833C4" w:rsidRDefault="005833C4">
            <w:pPr>
              <w:pStyle w:val="Tabellentext"/>
            </w:pPr>
          </w:p>
        </w:tc>
      </w:tr>
    </w:tbl>
    <w:p w:rsidR="005833C4" w:rsidRDefault="003123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Arial" w:cs="Arial"/>
          <w:sz w:val="25"/>
        </w:rP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 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</w:t>
      </w:r>
      <w:r>
        <w:rPr>
          <w:rFonts w:eastAsia="Arial" w:cs="Arial"/>
          <w:sz w:val="25"/>
        </w:rPr>
        <w:t xml:space="preserve"> Lernsituation ist kurz, prägnant und beschreibt die grundsätzliche Handlung (z. B. durch Substantiv und Verb). </w:t>
      </w:r>
    </w:p>
    <w:p w:rsidR="005833C4" w:rsidRDefault="003123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</w:t>
      </w:r>
      <w:r>
        <w:rPr>
          <w:rFonts w:eastAsia="Arial" w:cs="Arial"/>
          <w:sz w:val="25"/>
        </w:rPr>
        <w:t>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 xml:space="preserve">beruflichen, fachlichen, gesellschaftlichen oder privaten Kontext und initiiert bzw. trägt </w:t>
      </w:r>
      <w:r>
        <w:rPr>
          <w:rFonts w:eastAsia="Arial" w:cs="Arial"/>
          <w:sz w:val="25"/>
        </w:rPr>
        <w:t>einen komplexen Lern- und Arbeitsprozess. Sie bildet den Rahmen für den Unterricht und führt über die 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</w:t>
      </w:r>
      <w:r>
        <w:rPr>
          <w:rFonts w:eastAsia="Arial" w:cs="Arial"/>
          <w:sz w:val="25"/>
        </w:rPr>
        <w:t>s neben materiellen auch nicht-materielle Produkte Ergebnisse von Lernsituationen sein können (z. B. Handlungskonzept, Stellungnahme, Beratungsgespräch). Hier lassen sich ebenso Lernergebnisse darstellen (z. B. Technische Zeichnungen, Berechnungen, Dokumen</w:t>
      </w:r>
      <w:r>
        <w:rPr>
          <w:rFonts w:eastAsia="Arial" w:cs="Arial"/>
          <w:sz w:val="25"/>
        </w:rPr>
        <w:t>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>
        <w:rPr>
          <w:rFonts w:eastAsia="Arial" w:cs="Arial"/>
          <w:sz w:val="25"/>
        </w:rPr>
        <w:t xml:space="preserve"> Handlungskompetenz entfaltet sich in den Dimensionen Fach-, Selbst- und Sozialkompetenz. In Handlungskompetenz sind Kommunikations-, Methoden- und Lernkompetenzen immanent. Die Förderung der Handlungskompetenz beinhaltet Aspekte der Digitalisierung, Beruf</w:t>
      </w:r>
      <w:r>
        <w:rPr>
          <w:rFonts w:eastAsia="Arial" w:cs="Arial"/>
          <w:sz w:val="25"/>
        </w:rPr>
        <w:t>ssprache und Nachhaltigkeit. 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 bzw. Analysieren, Planen, E</w:t>
      </w:r>
      <w:r>
        <w:rPr>
          <w:rFonts w:eastAsia="Arial" w:cs="Arial"/>
          <w:sz w:val="25"/>
        </w:rPr>
        <w:t xml:space="preserve">ntscheiden, Durchführen, Kontrollieren bzw. Bewerten und Reflektieren. Hier lassen sich bei Bedarf auch Anmerkungen zu Sozial- </w:t>
      </w:r>
      <w:r>
        <w:rPr>
          <w:rFonts w:eastAsia="Arial" w:cs="Arial"/>
          <w:sz w:val="25"/>
        </w:rPr>
        <w:lastRenderedPageBreak/>
        <w:t>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 Rahmenlehr</w:t>
      </w:r>
      <w:r>
        <w:rPr>
          <w:rFonts w:eastAsia="Arial" w:cs="Arial"/>
          <w:sz w:val="25"/>
        </w:rPr>
        <w:t>plans. Nach Möglichkeit können sie auch direkt innerhalb der aufgeführten Kompetenzen ausgewiesen werden. Sie sind z. B. hinsichtlich Aktualität, Komplexität, Bearbeitungstiefe und 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</w:t>
      </w:r>
      <w:r>
        <w:rPr>
          <w:rFonts w:eastAsia="Arial" w:cs="Arial"/>
          <w:sz w:val="25"/>
        </w:rPr>
        <w:t>ntscheidungen berücksichtigt werden, wie z. B. zu didaktisch-methodischen Entscheidungen, Möglichkeiten der Leistungsbewertung und Lernortkooperationen sowie Materialien und Medien. Die Entscheidungen werden i. d. R. von den Schulen bzw. den an der Lernsit</w:t>
      </w:r>
      <w:r>
        <w:rPr>
          <w:rFonts w:eastAsia="Arial" w:cs="Arial"/>
          <w:sz w:val="25"/>
        </w:rPr>
        <w:t>uation beteiligten Lehrkräften getroffen.</w:t>
      </w:r>
    </w:p>
    <w:p w:rsidR="005833C4" w:rsidRDefault="00583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5833C4" w:rsidRDefault="005833C4">
      <w:pPr>
        <w:rPr>
          <w:rFonts w:cs="Arial"/>
          <w:b/>
          <w:bCs/>
        </w:rPr>
      </w:pPr>
    </w:p>
    <w:sectPr w:rsidR="00583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C4" w:rsidRDefault="003123BA">
      <w:pPr>
        <w:spacing w:line="240" w:lineRule="auto"/>
      </w:pPr>
      <w:r>
        <w:separator/>
      </w:r>
    </w:p>
  </w:endnote>
  <w:endnote w:type="continuationSeparator" w:id="0">
    <w:p w:rsidR="005833C4" w:rsidRDefault="00312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V Boli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C4" w:rsidRDefault="003123BA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C4" w:rsidRDefault="003123BA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8901D8">
      <w:rPr>
        <w:bCs/>
        <w:noProof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8901D8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8901D8">
      <w:rPr>
        <w:rStyle w:val="Seitenzahl"/>
        <w:rFonts w:cs="Arial"/>
        <w:noProof/>
        <w:szCs w:val="20"/>
      </w:rPr>
      <w:instrText>1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C4" w:rsidRDefault="003123BA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8901D8">
      <w:rPr>
        <w:rFonts w:eastAsia="Calibri"/>
        <w:noProof/>
        <w:szCs w:val="20"/>
      </w:rPr>
      <w:t>15.11.2023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8901D8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:rsidR="005833C4" w:rsidRDefault="00583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C4" w:rsidRDefault="003123BA">
      <w:pPr>
        <w:spacing w:line="240" w:lineRule="auto"/>
      </w:pPr>
      <w:r>
        <w:separator/>
      </w:r>
    </w:p>
  </w:footnote>
  <w:footnote w:type="continuationSeparator" w:id="0">
    <w:p w:rsidR="005833C4" w:rsidRDefault="003123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C4" w:rsidRDefault="003123BA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5833C4" w:rsidRDefault="005833C4">
    <w:pPr>
      <w:pStyle w:val="Kopfzeile"/>
      <w:pBdr>
        <w:bottom w:val="single" w:sz="12" w:space="1" w:color="808080"/>
        <w:between w:val="single" w:sz="12" w:space="1" w:color="4D4D4D"/>
      </w:pBdr>
    </w:pPr>
  </w:p>
  <w:p w:rsidR="005833C4" w:rsidRDefault="00583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C4" w:rsidRDefault="003123BA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Maurer und Maurerin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C4" w:rsidRDefault="003123BA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5833C4" w:rsidRDefault="005833C4">
    <w:pPr>
      <w:pStyle w:val="Kopfzeile"/>
      <w:pBdr>
        <w:bottom w:val="single" w:sz="12" w:space="1" w:color="808080"/>
        <w:between w:val="single" w:sz="12" w:space="1" w:color="4D4D4D"/>
      </w:pBdr>
    </w:pPr>
  </w:p>
  <w:p w:rsidR="005833C4" w:rsidRDefault="005833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7006"/>
    <w:multiLevelType w:val="hybridMultilevel"/>
    <w:tmpl w:val="BFAA574A"/>
    <w:lvl w:ilvl="0" w:tplc="3A729830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F1EEF64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85D26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E6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06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2F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6D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C0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4C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B39"/>
    <w:multiLevelType w:val="hybridMultilevel"/>
    <w:tmpl w:val="9550BF98"/>
    <w:lvl w:ilvl="0" w:tplc="A0BA78F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1200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8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65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ECA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8C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E1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6C2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29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298D"/>
    <w:multiLevelType w:val="hybridMultilevel"/>
    <w:tmpl w:val="696E215C"/>
    <w:lvl w:ilvl="0" w:tplc="428C607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394E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CC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C8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65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0C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E4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2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4D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6D1A"/>
    <w:multiLevelType w:val="hybridMultilevel"/>
    <w:tmpl w:val="8F1005B8"/>
    <w:lvl w:ilvl="0" w:tplc="D07CDBA6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25D0173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B2C108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1F244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4A47C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76E43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507DA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A9E6A6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AEAAFE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E47629"/>
    <w:multiLevelType w:val="hybridMultilevel"/>
    <w:tmpl w:val="84BCC23A"/>
    <w:lvl w:ilvl="0" w:tplc="CB2C0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C18FD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64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60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9C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6A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25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05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2E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0629"/>
    <w:multiLevelType w:val="hybridMultilevel"/>
    <w:tmpl w:val="1BA8593C"/>
    <w:lvl w:ilvl="0" w:tplc="EB6E60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CE8F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E2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C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6F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EE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8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05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01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3DEB"/>
    <w:multiLevelType w:val="hybridMultilevel"/>
    <w:tmpl w:val="448C3D50"/>
    <w:lvl w:ilvl="0" w:tplc="A8F2C39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92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28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1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D1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2C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4D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247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E0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AFD"/>
    <w:multiLevelType w:val="hybridMultilevel"/>
    <w:tmpl w:val="6722096C"/>
    <w:lvl w:ilvl="0" w:tplc="F1306624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131A51C0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A532DE04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E87EE7D4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4312794C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D5941EDE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9732C2D6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2112363C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338EBCA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8" w15:restartNumberingAfterBreak="0">
    <w:nsid w:val="58091144"/>
    <w:multiLevelType w:val="hybridMultilevel"/>
    <w:tmpl w:val="09926E00"/>
    <w:lvl w:ilvl="0" w:tplc="70CCB6E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5A5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27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6C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6B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6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C9F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AE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877C4"/>
    <w:multiLevelType w:val="hybridMultilevel"/>
    <w:tmpl w:val="ED406F38"/>
    <w:lvl w:ilvl="0" w:tplc="1D9E8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8E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CD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8F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4B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6E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21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43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B00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C1733"/>
    <w:multiLevelType w:val="hybridMultilevel"/>
    <w:tmpl w:val="80B05462"/>
    <w:lvl w:ilvl="0" w:tplc="B94E5552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92540E5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342A40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BB2745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CAB73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3B6F6E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294431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9B0172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526E8F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9EC59BB"/>
    <w:multiLevelType w:val="hybridMultilevel"/>
    <w:tmpl w:val="61D6A84C"/>
    <w:lvl w:ilvl="0" w:tplc="12C8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0F7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4F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68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4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45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EC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6D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020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82F0E"/>
    <w:multiLevelType w:val="hybridMultilevel"/>
    <w:tmpl w:val="E7401F3A"/>
    <w:lvl w:ilvl="0" w:tplc="7220A27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29C2C8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B42200C6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916DABE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61406CD0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ED1E3610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75549BC8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D6C01248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DBA4AE4C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766D0038"/>
    <w:multiLevelType w:val="hybridMultilevel"/>
    <w:tmpl w:val="337EF8CC"/>
    <w:lvl w:ilvl="0" w:tplc="553EAAE6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C2F6F73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4329CB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2CA445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14EAB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EA4329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A684C8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4B8E54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962D70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DF314C8"/>
    <w:multiLevelType w:val="hybridMultilevel"/>
    <w:tmpl w:val="D618F70A"/>
    <w:lvl w:ilvl="0" w:tplc="D608B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EB5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ED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6D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C02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85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66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62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8A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C4"/>
    <w:rsid w:val="003123BA"/>
    <w:rsid w:val="005833C4"/>
    <w:rsid w:val="008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B420E"/>
  <w15:docId w15:val="{49B4BE49-1B6C-4931-8579-388B75D9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4449</Characters>
  <Application>Microsoft Office Word</Application>
  <DocSecurity>4</DocSecurity>
  <Lines>37</Lines>
  <Paragraphs>10</Paragraphs>
  <ScaleCrop>false</ScaleCrop>
  <Company>IT.Niedersachsen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Velbinger, Jan (NLQ)</dc:creator>
  <cp:lastModifiedBy>Monika Hack</cp:lastModifiedBy>
  <cp:revision>2</cp:revision>
  <dcterms:created xsi:type="dcterms:W3CDTF">2024-01-30T18:22:00Z</dcterms:created>
  <dcterms:modified xsi:type="dcterms:W3CDTF">2024-01-30T18:22:00Z</dcterms:modified>
</cp:coreProperties>
</file>