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BA3" w:rsidRPr="00051610" w:rsidRDefault="00EE1BB2" w:rsidP="00051610">
      <w:pPr>
        <w:jc w:val="center"/>
        <w:rPr>
          <w:i/>
          <w:sz w:val="20"/>
          <w:szCs w:val="20"/>
        </w:rPr>
      </w:pPr>
      <w:bookmarkStart w:id="0" w:name="_GoBack"/>
      <w:bookmarkEnd w:id="0"/>
      <w:r w:rsidRPr="00051610">
        <w:rPr>
          <w:i/>
          <w:sz w:val="20"/>
          <w:szCs w:val="20"/>
        </w:rPr>
        <w:t>Länderübergreifender Workshop zur Umsetzung des neuen KMK-Rahmenlehrplans „</w:t>
      </w:r>
      <w:r w:rsidR="006A70FA">
        <w:rPr>
          <w:i/>
          <w:sz w:val="20"/>
          <w:szCs w:val="20"/>
        </w:rPr>
        <w:t>Umwelttechnische Berufe</w:t>
      </w:r>
      <w:r w:rsidRPr="00051610">
        <w:rPr>
          <w:i/>
          <w:sz w:val="20"/>
          <w:szCs w:val="20"/>
        </w:rPr>
        <w:t xml:space="preserve">“, am </w:t>
      </w:r>
      <w:r w:rsidR="006A70FA">
        <w:rPr>
          <w:i/>
          <w:sz w:val="20"/>
          <w:szCs w:val="20"/>
        </w:rPr>
        <w:t>22.04. – 24.04.2024</w:t>
      </w:r>
      <w:r w:rsidRPr="00051610">
        <w:rPr>
          <w:i/>
          <w:sz w:val="20"/>
          <w:szCs w:val="20"/>
        </w:rPr>
        <w:t xml:space="preserve"> </w:t>
      </w:r>
      <w:r w:rsidR="006A70FA">
        <w:rPr>
          <w:i/>
          <w:sz w:val="20"/>
          <w:szCs w:val="20"/>
        </w:rPr>
        <w:t>in Neuendettelsau</w:t>
      </w:r>
    </w:p>
    <w:p w:rsidR="00EE1BB2" w:rsidRDefault="00EE1BB2">
      <w:pPr>
        <w:rPr>
          <w:b/>
        </w:rPr>
      </w:pPr>
      <w:r w:rsidRPr="00EE1BB2">
        <w:rPr>
          <w:b/>
        </w:rPr>
        <w:t>Länderübergreifende Darstellung von Lernsituationen</w:t>
      </w:r>
    </w:p>
    <w:p w:rsidR="00EE1BB2" w:rsidRPr="00EE1BB2" w:rsidRDefault="00EE1BB2" w:rsidP="00EE1BB2">
      <w:pPr>
        <w:spacing w:after="0"/>
      </w:pPr>
      <w:r w:rsidRPr="00EE1BB2">
        <w:t>Anordnung der Lernsituation im Lernfeld</w:t>
      </w:r>
      <w:r w:rsidR="00D56D9A">
        <w:t xml:space="preserve"> 5 Abwasser beproben und untersuchen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2725"/>
      </w:tblGrid>
      <w:tr w:rsidR="00EE1BB2" w:rsidRPr="00732FE7" w:rsidTr="00732FE7">
        <w:tc>
          <w:tcPr>
            <w:tcW w:w="675" w:type="dxa"/>
            <w:shd w:val="clear" w:color="auto" w:fill="auto"/>
          </w:tcPr>
          <w:p w:rsidR="00EE1BB2" w:rsidRPr="00732FE7" w:rsidRDefault="00EE1BB2" w:rsidP="00732FE7">
            <w:pPr>
              <w:spacing w:after="0" w:line="240" w:lineRule="auto"/>
              <w:rPr>
                <w:b/>
              </w:rPr>
            </w:pPr>
            <w:r w:rsidRPr="00732FE7">
              <w:rPr>
                <w:b/>
              </w:rPr>
              <w:t>Nr.</w:t>
            </w:r>
          </w:p>
        </w:tc>
        <w:tc>
          <w:tcPr>
            <w:tcW w:w="5812" w:type="dxa"/>
            <w:shd w:val="clear" w:color="auto" w:fill="auto"/>
          </w:tcPr>
          <w:p w:rsidR="00EE1BB2" w:rsidRPr="00732FE7" w:rsidRDefault="00EE1BB2" w:rsidP="00732FE7">
            <w:pPr>
              <w:spacing w:after="0" w:line="240" w:lineRule="auto"/>
              <w:rPr>
                <w:b/>
              </w:rPr>
            </w:pPr>
            <w:r w:rsidRPr="00732FE7">
              <w:rPr>
                <w:b/>
              </w:rPr>
              <w:t>Abfolge der Lernsituationen</w:t>
            </w:r>
          </w:p>
        </w:tc>
        <w:tc>
          <w:tcPr>
            <w:tcW w:w="2725" w:type="dxa"/>
            <w:shd w:val="clear" w:color="auto" w:fill="auto"/>
          </w:tcPr>
          <w:p w:rsidR="00EE1BB2" w:rsidRPr="00732FE7" w:rsidRDefault="00EE1BB2" w:rsidP="00732FE7">
            <w:pPr>
              <w:spacing w:after="0" w:line="240" w:lineRule="auto"/>
              <w:rPr>
                <w:b/>
              </w:rPr>
            </w:pPr>
            <w:r w:rsidRPr="00732FE7">
              <w:rPr>
                <w:b/>
              </w:rPr>
              <w:t>Zeitrichtwerte (UStd.)</w:t>
            </w:r>
          </w:p>
        </w:tc>
      </w:tr>
      <w:tr w:rsidR="00EE1BB2" w:rsidRPr="00732FE7" w:rsidTr="00732FE7">
        <w:tc>
          <w:tcPr>
            <w:tcW w:w="675" w:type="dxa"/>
            <w:shd w:val="clear" w:color="auto" w:fill="auto"/>
          </w:tcPr>
          <w:p w:rsidR="00EE1BB2" w:rsidRPr="00D56D9A" w:rsidRDefault="00607457" w:rsidP="00732FE7">
            <w:pPr>
              <w:spacing w:after="0" w:line="240" w:lineRule="auto"/>
            </w:pPr>
            <w:r w:rsidRPr="00D56D9A">
              <w:t>5.1</w:t>
            </w:r>
          </w:p>
        </w:tc>
        <w:tc>
          <w:tcPr>
            <w:tcW w:w="5812" w:type="dxa"/>
            <w:shd w:val="clear" w:color="auto" w:fill="auto"/>
          </w:tcPr>
          <w:p w:rsidR="00EE1BB2" w:rsidRPr="00D56D9A" w:rsidRDefault="00607457" w:rsidP="00732FE7">
            <w:pPr>
              <w:spacing w:after="0" w:line="240" w:lineRule="auto"/>
            </w:pPr>
            <w:r w:rsidRPr="00D56D9A">
              <w:t>Unfall eines Gefahrguttransportes mit Säuren im Entwässerungsgebietes</w:t>
            </w:r>
          </w:p>
        </w:tc>
        <w:tc>
          <w:tcPr>
            <w:tcW w:w="2725" w:type="dxa"/>
            <w:shd w:val="clear" w:color="auto" w:fill="auto"/>
          </w:tcPr>
          <w:p w:rsidR="00EE1BB2" w:rsidRPr="00D56D9A" w:rsidRDefault="00607457" w:rsidP="00732FE7">
            <w:pPr>
              <w:spacing w:after="0" w:line="240" w:lineRule="auto"/>
            </w:pPr>
            <w:r w:rsidRPr="00D56D9A">
              <w:t>60</w:t>
            </w:r>
          </w:p>
        </w:tc>
      </w:tr>
    </w:tbl>
    <w:p w:rsidR="00EE1BB2" w:rsidRDefault="00EE1B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E1BB2" w:rsidRPr="00732FE7" w:rsidTr="00732FE7">
        <w:tc>
          <w:tcPr>
            <w:tcW w:w="9212" w:type="dxa"/>
            <w:gridSpan w:val="2"/>
            <w:shd w:val="clear" w:color="auto" w:fill="auto"/>
          </w:tcPr>
          <w:p w:rsidR="00EE1BB2" w:rsidRPr="00732FE7" w:rsidRDefault="00EE1BB2" w:rsidP="00732FE7">
            <w:pPr>
              <w:spacing w:after="0"/>
              <w:rPr>
                <w:b/>
              </w:rPr>
            </w:pPr>
            <w:r w:rsidRPr="00732FE7">
              <w:rPr>
                <w:b/>
              </w:rPr>
              <w:t>Curricularer Bezug</w:t>
            </w:r>
            <w:r w:rsidRPr="00732FE7">
              <w:rPr>
                <w:b/>
                <w:vertAlign w:val="superscript"/>
              </w:rPr>
              <w:t>1</w:t>
            </w:r>
            <w:r w:rsidRPr="00732FE7">
              <w:rPr>
                <w:b/>
              </w:rPr>
              <w:t>:</w:t>
            </w:r>
          </w:p>
          <w:p w:rsidR="00EE1BB2" w:rsidRPr="00EE1BB2" w:rsidRDefault="00EE1BB2" w:rsidP="00732FE7">
            <w:pPr>
              <w:spacing w:after="0"/>
            </w:pPr>
            <w:r w:rsidRPr="00EE1BB2">
              <w:t>Ausbildungsjahr:</w:t>
            </w:r>
          </w:p>
          <w:p w:rsidR="00EE1BB2" w:rsidRPr="00EE1BB2" w:rsidRDefault="00EE1BB2" w:rsidP="00732FE7">
            <w:pPr>
              <w:spacing w:after="0"/>
            </w:pPr>
            <w:r w:rsidRPr="00EE1BB2">
              <w:t xml:space="preserve">Lernfeld Nr.: </w:t>
            </w:r>
            <w:r w:rsidR="00607457">
              <w:t>5 Abwasser beproben und untersuchen</w:t>
            </w:r>
          </w:p>
          <w:p w:rsidR="00EE1BB2" w:rsidRPr="00732FE7" w:rsidRDefault="00EE1BB2" w:rsidP="00732FE7">
            <w:pPr>
              <w:spacing w:after="0"/>
              <w:rPr>
                <w:b/>
              </w:rPr>
            </w:pPr>
            <w:r w:rsidRPr="00EE1BB2">
              <w:t xml:space="preserve">Lernsituation Nr.: </w:t>
            </w:r>
            <w:r w:rsidR="00607457">
              <w:t xml:space="preserve">5.1 </w:t>
            </w:r>
            <w:r w:rsidR="00607457" w:rsidRPr="00607457">
              <w:rPr>
                <w:bCs/>
              </w:rPr>
              <w:t>Unfall eines Gefahrguttransportes mit Säuren im Entwässerungsgebietes</w:t>
            </w:r>
          </w:p>
        </w:tc>
      </w:tr>
      <w:tr w:rsidR="00EE1BB2" w:rsidRPr="00732FE7" w:rsidTr="00732FE7">
        <w:tc>
          <w:tcPr>
            <w:tcW w:w="4606" w:type="dxa"/>
            <w:shd w:val="clear" w:color="auto" w:fill="auto"/>
          </w:tcPr>
          <w:p w:rsidR="00EE1BB2" w:rsidRDefault="00EE1BB2">
            <w:pPr>
              <w:rPr>
                <w:b/>
              </w:rPr>
            </w:pPr>
            <w:r w:rsidRPr="00732FE7">
              <w:rPr>
                <w:b/>
              </w:rPr>
              <w:t>Handlungssituation</w:t>
            </w:r>
            <w:r w:rsidRPr="00732FE7">
              <w:rPr>
                <w:b/>
                <w:vertAlign w:val="superscript"/>
              </w:rPr>
              <w:t>4</w:t>
            </w:r>
            <w:r w:rsidRPr="00732FE7">
              <w:rPr>
                <w:b/>
              </w:rPr>
              <w:t>:</w:t>
            </w:r>
          </w:p>
          <w:p w:rsidR="00607457" w:rsidRPr="00732FE7" w:rsidRDefault="00607457">
            <w:pPr>
              <w:rPr>
                <w:b/>
              </w:rPr>
            </w:pPr>
            <w:r>
              <w:t>Die Schülerinnen und Schüler werden als Teil der Belegschaft vom Betriebsleiter informiert, dass durch den Unfall eines Gefahrguttransportes eine wesentliche Menge an Säure in den Kanal gelangt ist. Der Plan des Entwässerungssystems gibt einen Überblick über die Situation. Die Schülerinnen und Schüler sollen die notwendige Probennahme auf der Kläranlage und die für die Situation relevanten Untersuchungen vorbereiten und durchführen. Danach geben Sie eine Empfehlung zum Schutz der Kläranlage.</w:t>
            </w:r>
          </w:p>
        </w:tc>
        <w:tc>
          <w:tcPr>
            <w:tcW w:w="4606" w:type="dxa"/>
            <w:shd w:val="clear" w:color="auto" w:fill="auto"/>
          </w:tcPr>
          <w:p w:rsidR="00EE1BB2" w:rsidRDefault="00EE1BB2">
            <w:pPr>
              <w:rPr>
                <w:b/>
              </w:rPr>
            </w:pPr>
            <w:r w:rsidRPr="00732FE7">
              <w:rPr>
                <w:b/>
              </w:rPr>
              <w:t>Handlungsergebnis</w:t>
            </w:r>
            <w:r w:rsidRPr="00732FE7">
              <w:rPr>
                <w:b/>
                <w:vertAlign w:val="superscript"/>
              </w:rPr>
              <w:t>5</w:t>
            </w:r>
            <w:r w:rsidRPr="00732FE7">
              <w:rPr>
                <w:b/>
              </w:rPr>
              <w:t>:</w:t>
            </w:r>
          </w:p>
          <w:p w:rsidR="00607457" w:rsidRDefault="00607457" w:rsidP="00607457">
            <w:pPr>
              <w:numPr>
                <w:ilvl w:val="0"/>
                <w:numId w:val="1"/>
              </w:numPr>
              <w:rPr>
                <w:bCs/>
              </w:rPr>
            </w:pPr>
            <w:r>
              <w:rPr>
                <w:bCs/>
              </w:rPr>
              <w:t>Probenahmeplan</w:t>
            </w:r>
          </w:p>
          <w:p w:rsidR="00607457" w:rsidRDefault="00607457" w:rsidP="00607457">
            <w:pPr>
              <w:numPr>
                <w:ilvl w:val="0"/>
                <w:numId w:val="1"/>
              </w:numPr>
              <w:rPr>
                <w:bCs/>
              </w:rPr>
            </w:pPr>
            <w:r>
              <w:rPr>
                <w:bCs/>
              </w:rPr>
              <w:t>Checkliste</w:t>
            </w:r>
          </w:p>
          <w:p w:rsidR="00607457" w:rsidRDefault="00607457" w:rsidP="00607457">
            <w:pPr>
              <w:numPr>
                <w:ilvl w:val="0"/>
                <w:numId w:val="1"/>
              </w:numPr>
              <w:rPr>
                <w:bCs/>
              </w:rPr>
            </w:pPr>
            <w:r>
              <w:rPr>
                <w:bCs/>
              </w:rPr>
              <w:t>Probenahmeprotokoll</w:t>
            </w:r>
            <w:r w:rsidR="00D56D9A">
              <w:rPr>
                <w:bCs/>
              </w:rPr>
              <w:t xml:space="preserve"> </w:t>
            </w:r>
            <w:r w:rsidR="00D56D9A" w:rsidRPr="00D56D9A">
              <w:rPr>
                <w:bCs/>
              </w:rPr>
              <w:sym w:font="Wingdings" w:char="F0E0"/>
            </w:r>
            <w:r w:rsidR="00D56D9A">
              <w:rPr>
                <w:bCs/>
              </w:rPr>
              <w:t xml:space="preserve"> </w:t>
            </w:r>
            <w:r>
              <w:rPr>
                <w:bCs/>
              </w:rPr>
              <w:t>Vorlage</w:t>
            </w:r>
          </w:p>
          <w:p w:rsidR="00607457" w:rsidRPr="00607457" w:rsidRDefault="00607457" w:rsidP="00607457">
            <w:pPr>
              <w:numPr>
                <w:ilvl w:val="0"/>
                <w:numId w:val="1"/>
              </w:numPr>
              <w:rPr>
                <w:bCs/>
              </w:rPr>
            </w:pPr>
            <w:r>
              <w:rPr>
                <w:bCs/>
              </w:rPr>
              <w:t>Probenahmeprotokoll</w:t>
            </w:r>
            <w:r w:rsidR="00D56D9A">
              <w:rPr>
                <w:bCs/>
              </w:rPr>
              <w:t xml:space="preserve"> </w:t>
            </w:r>
            <w:r w:rsidR="00D56D9A" w:rsidRPr="00D56D9A">
              <w:rPr>
                <w:bCs/>
              </w:rPr>
              <w:sym w:font="Wingdings" w:char="F0E0"/>
            </w:r>
            <w:r w:rsidR="00D56D9A">
              <w:rPr>
                <w:bCs/>
              </w:rPr>
              <w:t xml:space="preserve"> </w:t>
            </w:r>
            <w:r>
              <w:rPr>
                <w:bCs/>
              </w:rPr>
              <w:t>dokumentiert</w:t>
            </w:r>
          </w:p>
        </w:tc>
      </w:tr>
      <w:tr w:rsidR="00EE1BB2" w:rsidRPr="00732FE7" w:rsidTr="00732FE7">
        <w:tc>
          <w:tcPr>
            <w:tcW w:w="4606" w:type="dxa"/>
            <w:shd w:val="clear" w:color="auto" w:fill="auto"/>
          </w:tcPr>
          <w:p w:rsidR="00051610" w:rsidRPr="00732FE7" w:rsidRDefault="00051610" w:rsidP="00732FE7">
            <w:pPr>
              <w:spacing w:after="0"/>
              <w:rPr>
                <w:b/>
              </w:rPr>
            </w:pPr>
            <w:r w:rsidRPr="00732FE7">
              <w:rPr>
                <w:b/>
              </w:rPr>
              <w:t>Berufliche Handlungskompetenz</w:t>
            </w:r>
            <w:r w:rsidRPr="00732FE7">
              <w:rPr>
                <w:b/>
                <w:vertAlign w:val="superscript"/>
              </w:rPr>
              <w:t>6</w:t>
            </w:r>
            <w:r w:rsidRPr="00732FE7">
              <w:rPr>
                <w:b/>
              </w:rPr>
              <w:t xml:space="preserve"> als </w:t>
            </w:r>
          </w:p>
          <w:p w:rsidR="00EE1BB2" w:rsidRDefault="00051610" w:rsidP="00732FE7">
            <w:pPr>
              <w:spacing w:after="0"/>
              <w:rPr>
                <w:b/>
                <w:vertAlign w:val="superscript"/>
              </w:rPr>
            </w:pPr>
            <w:r w:rsidRPr="00732FE7">
              <w:rPr>
                <w:b/>
              </w:rPr>
              <w:t>vollständige Handlung</w:t>
            </w:r>
            <w:r w:rsidRPr="00732FE7">
              <w:rPr>
                <w:b/>
                <w:vertAlign w:val="superscript"/>
              </w:rPr>
              <w:t>7</w:t>
            </w:r>
          </w:p>
          <w:p w:rsidR="00607457" w:rsidRDefault="00607457" w:rsidP="00607457">
            <w:pPr>
              <w:rPr>
                <w:sz w:val="20"/>
                <w:szCs w:val="20"/>
              </w:rPr>
            </w:pPr>
            <w:r w:rsidRPr="00011DFE">
              <w:rPr>
                <w:sz w:val="20"/>
                <w:szCs w:val="20"/>
              </w:rPr>
              <w:t xml:space="preserve">Die Schülerinnen und Schüler </w:t>
            </w:r>
            <w:r>
              <w:rPr>
                <w:sz w:val="20"/>
                <w:szCs w:val="20"/>
              </w:rPr>
              <w:t>a</w:t>
            </w:r>
            <w:r w:rsidRPr="00011DFE">
              <w:rPr>
                <w:sz w:val="20"/>
                <w:szCs w:val="20"/>
              </w:rPr>
              <w:t>nalysieren die Handlungssituation und strukturieren die Schwerpunkte zum Beispiel in Form einer MindMap.</w:t>
            </w:r>
          </w:p>
          <w:p w:rsidR="00607457" w:rsidRDefault="00607457" w:rsidP="00607457">
            <w:pPr>
              <w:rPr>
                <w:sz w:val="20"/>
                <w:szCs w:val="20"/>
              </w:rPr>
            </w:pPr>
            <w:r w:rsidRPr="00011DFE">
              <w:rPr>
                <w:sz w:val="20"/>
                <w:szCs w:val="20"/>
              </w:rPr>
              <w:t>Die Schülerinnen und Schüler</w:t>
            </w:r>
            <w:r>
              <w:rPr>
                <w:sz w:val="20"/>
                <w:szCs w:val="20"/>
              </w:rPr>
              <w:t xml:space="preserve"> i</w:t>
            </w:r>
            <w:r w:rsidRPr="00011DFE">
              <w:rPr>
                <w:sz w:val="20"/>
                <w:szCs w:val="20"/>
              </w:rPr>
              <w:t xml:space="preserve">nformieren </w:t>
            </w:r>
            <w:r>
              <w:rPr>
                <w:sz w:val="20"/>
                <w:szCs w:val="20"/>
              </w:rPr>
              <w:t>sich mit Hilfe von Suchmaschinen über die erarbeiteten Begrifflichkeiten und überprüfen die Verlässlichkeit ihrer Quellen.</w:t>
            </w:r>
          </w:p>
          <w:p w:rsidR="00607457" w:rsidRDefault="00607457" w:rsidP="00607457">
            <w:pPr>
              <w:rPr>
                <w:sz w:val="20"/>
                <w:szCs w:val="20"/>
              </w:rPr>
            </w:pPr>
            <w:r>
              <w:rPr>
                <w:sz w:val="20"/>
                <w:szCs w:val="20"/>
              </w:rPr>
              <w:t xml:space="preserve">Die Schülerinnen und Schüler entwerfen digital einen Probenahmeplan unter Berücksichtigung des Untersuchungsgegenstands und der damit verbundenen Untersuchungs- und Konservierungsmethoden sowie Geräte und Materialien. Sie erarbeiten eine Checkliste über die die vorzubereitenden Geräte und Materialien sowie anzuwendende Schutzmaßnahmen. Sie </w:t>
            </w:r>
            <w:r>
              <w:rPr>
                <w:sz w:val="20"/>
                <w:szCs w:val="20"/>
              </w:rPr>
              <w:lastRenderedPageBreak/>
              <w:t>erstellen die Vorlage für ihr Probenahmeprotokoll in Anlehnung an die im Probenahmeplan festgehaltene Vorgehensweise.</w:t>
            </w:r>
          </w:p>
          <w:p w:rsidR="00607457" w:rsidRDefault="00607457" w:rsidP="00607457">
            <w:pPr>
              <w:rPr>
                <w:sz w:val="20"/>
                <w:szCs w:val="20"/>
              </w:rPr>
            </w:pPr>
            <w:r w:rsidRPr="00011DFE">
              <w:rPr>
                <w:sz w:val="20"/>
                <w:szCs w:val="20"/>
              </w:rPr>
              <w:t>Die Schülerinnen und Schüler</w:t>
            </w:r>
            <w:r>
              <w:rPr>
                <w:sz w:val="20"/>
                <w:szCs w:val="20"/>
              </w:rPr>
              <w:t xml:space="preserve"> nehmen die Probe vor Ort und bestimmen die Vor-Ort-Parameter. Nach der Konservierung der Probe wird diese transportiert und im Labor untersucht. Sie dokumentieren ihre Untersuchungsergebnisse in der Protokollvorlage. Sie räumen auf und reinigen ihre Arbeitsmaterialien und den Arbeitsplatz auf und entsorgen die Abfallstoffe fachgerecht.</w:t>
            </w:r>
          </w:p>
          <w:p w:rsidR="00607457" w:rsidRPr="00011DFE" w:rsidRDefault="00607457" w:rsidP="00607457">
            <w:pPr>
              <w:rPr>
                <w:sz w:val="20"/>
                <w:szCs w:val="20"/>
              </w:rPr>
            </w:pPr>
            <w:r w:rsidRPr="00011DFE">
              <w:rPr>
                <w:sz w:val="20"/>
                <w:szCs w:val="20"/>
              </w:rPr>
              <w:t xml:space="preserve">Die Schülerinnen und Schüler </w:t>
            </w:r>
            <w:r>
              <w:rPr>
                <w:sz w:val="20"/>
                <w:szCs w:val="20"/>
              </w:rPr>
              <w:t>werten ihre Messergebnisse aus und überprüfen ihre Arbeitsweise auf Richtigkeit. Sie geben eine Handlungsempfehlung zum Schutz der Kläranlage.</w:t>
            </w:r>
          </w:p>
          <w:p w:rsidR="00607457" w:rsidRPr="00607457" w:rsidRDefault="00607457" w:rsidP="00607457">
            <w:pPr>
              <w:rPr>
                <w:sz w:val="20"/>
                <w:szCs w:val="20"/>
              </w:rPr>
            </w:pPr>
            <w:r w:rsidRPr="00011DFE">
              <w:rPr>
                <w:sz w:val="20"/>
                <w:szCs w:val="20"/>
              </w:rPr>
              <w:t xml:space="preserve">Die Schülerinnen und Schüler </w:t>
            </w:r>
            <w:r>
              <w:rPr>
                <w:sz w:val="20"/>
                <w:szCs w:val="20"/>
              </w:rPr>
              <w:t>reflektieren ihren Arbeitsprozess anhand von Leitfragen und definieren für sich einen Entwicklungsschwerpunkt mit Umsetzungshilfe.</w:t>
            </w:r>
          </w:p>
        </w:tc>
        <w:tc>
          <w:tcPr>
            <w:tcW w:w="4606" w:type="dxa"/>
            <w:shd w:val="clear" w:color="auto" w:fill="auto"/>
          </w:tcPr>
          <w:p w:rsidR="00EE1BB2" w:rsidRDefault="00051610" w:rsidP="00051610">
            <w:pPr>
              <w:rPr>
                <w:b/>
              </w:rPr>
            </w:pPr>
            <w:r w:rsidRPr="00732FE7">
              <w:rPr>
                <w:b/>
              </w:rPr>
              <w:lastRenderedPageBreak/>
              <w:t>Konkretisierung der Inhalte</w:t>
            </w:r>
            <w:r w:rsidRPr="00732FE7">
              <w:rPr>
                <w:b/>
                <w:vertAlign w:val="superscript"/>
              </w:rPr>
              <w:t>8</w:t>
            </w:r>
            <w:r w:rsidRPr="00732FE7">
              <w:rPr>
                <w:b/>
              </w:rPr>
              <w:t xml:space="preserve">: </w:t>
            </w:r>
          </w:p>
          <w:p w:rsidR="00607457" w:rsidRDefault="00607457" w:rsidP="00607457">
            <w:pPr>
              <w:numPr>
                <w:ilvl w:val="0"/>
                <w:numId w:val="2"/>
              </w:numPr>
              <w:rPr>
                <w:bCs/>
                <w:sz w:val="20"/>
                <w:szCs w:val="20"/>
              </w:rPr>
            </w:pPr>
            <w:r>
              <w:rPr>
                <w:bCs/>
                <w:sz w:val="20"/>
                <w:szCs w:val="20"/>
              </w:rPr>
              <w:t xml:space="preserve">Bestimmungsmethoden </w:t>
            </w:r>
            <w:r w:rsidRPr="00C20D16">
              <w:rPr>
                <w:bCs/>
                <w:sz w:val="20"/>
                <w:szCs w:val="20"/>
              </w:rPr>
              <w:t>(Betriebs-, Labormethoden)</w:t>
            </w:r>
            <w:r>
              <w:rPr>
                <w:bCs/>
                <w:sz w:val="20"/>
                <w:szCs w:val="20"/>
              </w:rPr>
              <w:t xml:space="preserve"> </w:t>
            </w:r>
            <w:r w:rsidRPr="00787531">
              <w:rPr>
                <w:bCs/>
                <w:sz w:val="20"/>
                <w:szCs w:val="20"/>
              </w:rPr>
              <w:sym w:font="Wingdings" w:char="F0E0"/>
            </w:r>
            <w:r>
              <w:rPr>
                <w:bCs/>
                <w:sz w:val="20"/>
                <w:szCs w:val="20"/>
              </w:rPr>
              <w:t xml:space="preserve"> Feldmethoden wurden durch Betriebsmethoden ersetzt (?)</w:t>
            </w:r>
          </w:p>
          <w:p w:rsidR="00607457" w:rsidRDefault="00607457" w:rsidP="00607457">
            <w:pPr>
              <w:numPr>
                <w:ilvl w:val="0"/>
                <w:numId w:val="2"/>
              </w:numPr>
              <w:rPr>
                <w:bCs/>
                <w:sz w:val="20"/>
                <w:szCs w:val="20"/>
              </w:rPr>
            </w:pPr>
            <w:r w:rsidRPr="00607457">
              <w:rPr>
                <w:bCs/>
                <w:sz w:val="20"/>
                <w:szCs w:val="20"/>
              </w:rPr>
              <w:t>Probenahmeart</w:t>
            </w:r>
            <w:r>
              <w:rPr>
                <w:bCs/>
                <w:sz w:val="20"/>
                <w:szCs w:val="20"/>
              </w:rPr>
              <w:t>en</w:t>
            </w:r>
            <w:r w:rsidRPr="00607457">
              <w:rPr>
                <w:bCs/>
                <w:sz w:val="20"/>
                <w:szCs w:val="20"/>
              </w:rPr>
              <w:t xml:space="preserve"> (</w:t>
            </w:r>
            <w:r>
              <w:rPr>
                <w:bCs/>
                <w:sz w:val="20"/>
                <w:szCs w:val="20"/>
              </w:rPr>
              <w:t>Einzel-, Stich-, Mischprobe</w:t>
            </w:r>
            <w:r w:rsidRPr="00607457">
              <w:rPr>
                <w:bCs/>
                <w:sz w:val="20"/>
                <w:szCs w:val="20"/>
              </w:rPr>
              <w:t>)</w:t>
            </w:r>
          </w:p>
          <w:p w:rsidR="00607457" w:rsidRDefault="00607457" w:rsidP="00607457">
            <w:pPr>
              <w:numPr>
                <w:ilvl w:val="0"/>
                <w:numId w:val="2"/>
              </w:numPr>
              <w:rPr>
                <w:bCs/>
                <w:sz w:val="20"/>
                <w:szCs w:val="20"/>
              </w:rPr>
            </w:pPr>
            <w:r w:rsidRPr="00607457">
              <w:rPr>
                <w:bCs/>
                <w:sz w:val="20"/>
                <w:szCs w:val="20"/>
              </w:rPr>
              <w:t xml:space="preserve">Probenahme-Parameter: </w:t>
            </w:r>
          </w:p>
          <w:p w:rsidR="00607457" w:rsidRDefault="00607457" w:rsidP="00607457">
            <w:pPr>
              <w:numPr>
                <w:ilvl w:val="1"/>
                <w:numId w:val="2"/>
              </w:numPr>
              <w:rPr>
                <w:bCs/>
                <w:sz w:val="20"/>
                <w:szCs w:val="20"/>
              </w:rPr>
            </w:pPr>
            <w:r w:rsidRPr="00607457">
              <w:rPr>
                <w:bCs/>
                <w:sz w:val="20"/>
                <w:szCs w:val="20"/>
              </w:rPr>
              <w:t xml:space="preserve">organoleptische (Geruch, Trübung, Färbung), </w:t>
            </w:r>
          </w:p>
          <w:p w:rsidR="00607457" w:rsidRDefault="00607457" w:rsidP="00607457">
            <w:pPr>
              <w:numPr>
                <w:ilvl w:val="1"/>
                <w:numId w:val="2"/>
              </w:numPr>
              <w:rPr>
                <w:bCs/>
                <w:sz w:val="20"/>
                <w:szCs w:val="20"/>
              </w:rPr>
            </w:pPr>
            <w:r w:rsidRPr="00607457">
              <w:rPr>
                <w:bCs/>
                <w:sz w:val="20"/>
                <w:szCs w:val="20"/>
              </w:rPr>
              <w:t>chemisch-physikalische (Temperatur, pH-Wert, Leitfähigkeit, Sauerstoffgehalt, absetzbare und abfiltrierbare Stoffe)</w:t>
            </w:r>
          </w:p>
          <w:p w:rsidR="00607457" w:rsidRDefault="00607457" w:rsidP="00607457">
            <w:pPr>
              <w:numPr>
                <w:ilvl w:val="0"/>
                <w:numId w:val="2"/>
              </w:numPr>
              <w:rPr>
                <w:bCs/>
                <w:sz w:val="20"/>
                <w:szCs w:val="20"/>
              </w:rPr>
            </w:pPr>
            <w:r w:rsidRPr="00607457">
              <w:rPr>
                <w:bCs/>
                <w:sz w:val="20"/>
                <w:szCs w:val="20"/>
              </w:rPr>
              <w:t>Probenahme-Geräte</w:t>
            </w:r>
            <w:r>
              <w:rPr>
                <w:bCs/>
                <w:sz w:val="20"/>
                <w:szCs w:val="20"/>
              </w:rPr>
              <w:t xml:space="preserve"> (Schöpfbecher, </w:t>
            </w:r>
            <w:r>
              <w:rPr>
                <w:bCs/>
                <w:sz w:val="20"/>
                <w:szCs w:val="20"/>
              </w:rPr>
              <w:lastRenderedPageBreak/>
              <w:t>Materialien usw.</w:t>
            </w:r>
            <w:r w:rsidR="00D56D9A">
              <w:rPr>
                <w:bCs/>
                <w:sz w:val="20"/>
                <w:szCs w:val="20"/>
              </w:rPr>
              <w:t xml:space="preserve"> ...</w:t>
            </w:r>
            <w:r>
              <w:rPr>
                <w:bCs/>
                <w:sz w:val="20"/>
                <w:szCs w:val="20"/>
              </w:rPr>
              <w:t>)</w:t>
            </w:r>
          </w:p>
          <w:p w:rsidR="00607457" w:rsidRDefault="00607457" w:rsidP="00607457">
            <w:pPr>
              <w:numPr>
                <w:ilvl w:val="0"/>
                <w:numId w:val="2"/>
              </w:numPr>
              <w:rPr>
                <w:bCs/>
                <w:sz w:val="20"/>
                <w:szCs w:val="20"/>
              </w:rPr>
            </w:pPr>
            <w:r w:rsidRPr="00607457">
              <w:rPr>
                <w:bCs/>
                <w:sz w:val="20"/>
                <w:szCs w:val="20"/>
              </w:rPr>
              <w:t>Konservierungsmethoden</w:t>
            </w:r>
          </w:p>
          <w:p w:rsidR="00607457" w:rsidRDefault="00607457" w:rsidP="00607457">
            <w:pPr>
              <w:numPr>
                <w:ilvl w:val="0"/>
                <w:numId w:val="2"/>
              </w:numPr>
              <w:rPr>
                <w:bCs/>
                <w:sz w:val="20"/>
                <w:szCs w:val="20"/>
              </w:rPr>
            </w:pPr>
            <w:r w:rsidRPr="00607457">
              <w:rPr>
                <w:bCs/>
                <w:sz w:val="20"/>
                <w:szCs w:val="20"/>
              </w:rPr>
              <w:t>Reinigung</w:t>
            </w:r>
          </w:p>
          <w:p w:rsidR="00607457" w:rsidRDefault="00607457" w:rsidP="00607457">
            <w:pPr>
              <w:numPr>
                <w:ilvl w:val="0"/>
                <w:numId w:val="2"/>
              </w:numPr>
              <w:rPr>
                <w:bCs/>
                <w:sz w:val="20"/>
                <w:szCs w:val="20"/>
              </w:rPr>
            </w:pPr>
            <w:r w:rsidRPr="00607457">
              <w:rPr>
                <w:bCs/>
                <w:sz w:val="20"/>
                <w:szCs w:val="20"/>
              </w:rPr>
              <w:t>Kennzeichnung</w:t>
            </w:r>
          </w:p>
          <w:p w:rsidR="00607457" w:rsidRPr="00607457" w:rsidRDefault="00607457" w:rsidP="00607457">
            <w:pPr>
              <w:numPr>
                <w:ilvl w:val="0"/>
                <w:numId w:val="2"/>
              </w:numPr>
              <w:rPr>
                <w:bCs/>
                <w:sz w:val="20"/>
                <w:szCs w:val="20"/>
              </w:rPr>
            </w:pPr>
            <w:r w:rsidRPr="00607457">
              <w:rPr>
                <w:bCs/>
                <w:sz w:val="20"/>
                <w:szCs w:val="20"/>
              </w:rPr>
              <w:t>Dokumentation (</w:t>
            </w:r>
            <w:r>
              <w:rPr>
                <w:bCs/>
                <w:sz w:val="20"/>
                <w:szCs w:val="20"/>
              </w:rPr>
              <w:t>Probenahmeplan vs. -protokoll</w:t>
            </w:r>
            <w:r w:rsidRPr="00607457">
              <w:rPr>
                <w:bCs/>
                <w:sz w:val="20"/>
                <w:szCs w:val="20"/>
              </w:rPr>
              <w:t>)</w:t>
            </w:r>
          </w:p>
        </w:tc>
      </w:tr>
      <w:tr w:rsidR="00EE1BB2" w:rsidRPr="00732FE7" w:rsidTr="00732FE7">
        <w:tc>
          <w:tcPr>
            <w:tcW w:w="9212" w:type="dxa"/>
            <w:gridSpan w:val="2"/>
            <w:shd w:val="clear" w:color="auto" w:fill="auto"/>
          </w:tcPr>
          <w:p w:rsidR="00EE1BB2" w:rsidRDefault="00051610" w:rsidP="00051610">
            <w:pPr>
              <w:rPr>
                <w:b/>
              </w:rPr>
            </w:pPr>
            <w:r w:rsidRPr="00732FE7">
              <w:rPr>
                <w:b/>
              </w:rPr>
              <w:lastRenderedPageBreak/>
              <w:t>Didaktisch-methodische Anregungen</w:t>
            </w:r>
            <w:r w:rsidRPr="00732FE7">
              <w:rPr>
                <w:b/>
                <w:vertAlign w:val="superscript"/>
              </w:rPr>
              <w:t>9</w:t>
            </w:r>
            <w:r w:rsidRPr="00732FE7">
              <w:rPr>
                <w:b/>
              </w:rPr>
              <w:t>:</w:t>
            </w:r>
          </w:p>
          <w:p w:rsidR="005E7E76" w:rsidRDefault="00607457" w:rsidP="00051610">
            <w:r>
              <w:t>Sozialform: arbeitsteilige Gruppenarbeit, Partnerarbeit</w:t>
            </w:r>
          </w:p>
          <w:p w:rsidR="005E7E76" w:rsidRDefault="00607457" w:rsidP="00051610">
            <w:pPr>
              <w:rPr>
                <w:rFonts w:ascii="Cambria Math" w:hAnsi="Cambria Math" w:cs="Cambria Math"/>
              </w:rPr>
            </w:pPr>
            <w:r>
              <w:t>Probenahmeplan und -protokoll in digitaler Form</w:t>
            </w:r>
          </w:p>
          <w:p w:rsidR="00607457" w:rsidRPr="00607457" w:rsidRDefault="00607457" w:rsidP="00051610">
            <w:pPr>
              <w:rPr>
                <w:bCs/>
              </w:rPr>
            </w:pPr>
            <w:r>
              <w:t>Brainstorming zu ressourcenschonendem Einsatz von Betriebsmitteln</w:t>
            </w:r>
          </w:p>
        </w:tc>
      </w:tr>
    </w:tbl>
    <w:p w:rsidR="00051610" w:rsidRDefault="00051610">
      <w:pPr>
        <w:rPr>
          <w:b/>
        </w:rPr>
      </w:pPr>
    </w:p>
    <w:p w:rsidR="00051610" w:rsidRDefault="00051610">
      <w:pPr>
        <w:rPr>
          <w:b/>
        </w:rPr>
      </w:pPr>
      <w:r>
        <w:rPr>
          <w:b/>
        </w:rPr>
        <w:t>_____________</w:t>
      </w:r>
    </w:p>
    <w:tbl>
      <w:tblPr>
        <w:tblW w:w="0" w:type="auto"/>
        <w:tblLook w:val="04A0" w:firstRow="1" w:lastRow="0" w:firstColumn="1" w:lastColumn="0" w:noHBand="0" w:noVBand="1"/>
      </w:tblPr>
      <w:tblGrid>
        <w:gridCol w:w="534"/>
        <w:gridCol w:w="8678"/>
      </w:tblGrid>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1</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In diesem Bereich ist es anlassbezogen sinnvoll, auch Querverweise zu anderen Lernsituationen bzw. Lernfeldern aufzuführen.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2</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aussagefähige Titel der Lernsituation ist kurz, prägnant und beschreibt die grundsätzliche Handlung (z. B. durch Substantiv und Verb).</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3</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Zeitrichtwert bezieht sich auf die Summe einzelner Unterrichtsstunden der Lernsituation und wird aus dem zu erwartenden Arbeitsaufwand abgeleitet. Bezugspunkt ist der Zeitrichtwert des Rahmenlehrplans.</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4</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5</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6</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7</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t>8</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 xml:space="preserve">Inhalte der Lernsituation erschließen sich aus den Kompetenzen und ggf. den Inhalten des Rahmen-lehrplans. Nach Möglichkeit können sie auch direkt innerhalb der aufgeführten Kompetenzen </w:t>
            </w:r>
            <w:r w:rsidRPr="00732FE7">
              <w:rPr>
                <w:sz w:val="18"/>
                <w:szCs w:val="18"/>
              </w:rPr>
              <w:lastRenderedPageBreak/>
              <w:t>ausgewiesen werden. Sie sind z. B. hinsichtlich Aktualität, Komplexität, Bearbeitungstiefe und regionaler Spezifika zu analysieren.</w:t>
            </w:r>
          </w:p>
        </w:tc>
      </w:tr>
      <w:tr w:rsidR="00051610" w:rsidRPr="00732FE7" w:rsidTr="00732FE7">
        <w:tc>
          <w:tcPr>
            <w:tcW w:w="534" w:type="dxa"/>
            <w:shd w:val="clear" w:color="auto" w:fill="auto"/>
          </w:tcPr>
          <w:p w:rsidR="00051610" w:rsidRPr="00732FE7" w:rsidRDefault="00051610" w:rsidP="00732FE7">
            <w:pPr>
              <w:spacing w:after="0"/>
              <w:jc w:val="right"/>
              <w:rPr>
                <w:vertAlign w:val="superscript"/>
              </w:rPr>
            </w:pPr>
            <w:r w:rsidRPr="00732FE7">
              <w:rPr>
                <w:vertAlign w:val="superscript"/>
              </w:rPr>
              <w:lastRenderedPageBreak/>
              <w:t>9</w:t>
            </w:r>
          </w:p>
        </w:tc>
        <w:tc>
          <w:tcPr>
            <w:tcW w:w="8678" w:type="dxa"/>
            <w:shd w:val="clear" w:color="auto" w:fill="auto"/>
          </w:tcPr>
          <w:p w:rsidR="00051610" w:rsidRPr="00732FE7" w:rsidRDefault="00051610" w:rsidP="00732FE7">
            <w:pPr>
              <w:spacing w:after="0" w:line="240" w:lineRule="auto"/>
              <w:rPr>
                <w:sz w:val="18"/>
                <w:szCs w:val="18"/>
              </w:rPr>
            </w:pPr>
            <w:r w:rsidRPr="00732FE7">
              <w:rPr>
                <w:sz w:val="18"/>
                <w:szCs w:val="18"/>
              </w:rPr>
              <w:t>Für Lernsituationen müssen weitere Entscheidungen berücksichtigt werden, wie z. B. zu didaktisch methodischen Entscheidungen, Möglichkeiten der Leistungsbewertung und Lernortkooperationen sowie Materialien und Medien. Die Entscheidungen werden i. d. R. von den Schulen bzw. den an der Lernsituation beteiligten Lehrkräften getroffen.</w:t>
            </w:r>
          </w:p>
        </w:tc>
      </w:tr>
    </w:tbl>
    <w:p w:rsidR="00051610" w:rsidRPr="00EE1BB2" w:rsidRDefault="00051610">
      <w:pPr>
        <w:rPr>
          <w:b/>
        </w:rPr>
      </w:pPr>
    </w:p>
    <w:sectPr w:rsidR="00051610" w:rsidRPr="00EE1BB2" w:rsidSect="001765A1">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55F7B"/>
    <w:multiLevelType w:val="hybridMultilevel"/>
    <w:tmpl w:val="6DE452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3B921E1"/>
    <w:multiLevelType w:val="hybridMultilevel"/>
    <w:tmpl w:val="E3AE2CE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B2"/>
    <w:rsid w:val="00051610"/>
    <w:rsid w:val="00142BCB"/>
    <w:rsid w:val="001765A1"/>
    <w:rsid w:val="00286BA3"/>
    <w:rsid w:val="0048606B"/>
    <w:rsid w:val="00592F01"/>
    <w:rsid w:val="005E7E76"/>
    <w:rsid w:val="00607457"/>
    <w:rsid w:val="006A70FA"/>
    <w:rsid w:val="00732FE7"/>
    <w:rsid w:val="00785346"/>
    <w:rsid w:val="008F3071"/>
    <w:rsid w:val="00A77419"/>
    <w:rsid w:val="00B27100"/>
    <w:rsid w:val="00D56D9A"/>
    <w:rsid w:val="00EE1B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BF26C4E-EC6C-4D55-96DC-315B7BC9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pPr>
      <w:spacing w:after="20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imes New Roman"/>
      <w:b/>
      <w:bCs/>
      <w:color w:val="000000"/>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92F01"/>
    <w:rPr>
      <w:rFonts w:ascii="Arial" w:eastAsia="Times New Roman" w:hAnsi="Arial" w:cs="Times New Roman"/>
      <w:b/>
      <w:bCs/>
      <w:sz w:val="28"/>
      <w:szCs w:val="28"/>
    </w:rPr>
  </w:style>
  <w:style w:type="character" w:customStyle="1" w:styleId="berschrift2Zchn">
    <w:name w:val="Überschrift 2 Zchn"/>
    <w:link w:val="berschrift2"/>
    <w:uiPriority w:val="9"/>
    <w:rsid w:val="00592F01"/>
    <w:rPr>
      <w:rFonts w:ascii="Arial" w:eastAsia="Times New Roman" w:hAnsi="Arial" w:cs="Times New Roman"/>
      <w:b/>
      <w:bCs/>
      <w:color w:val="000000"/>
      <w:sz w:val="26"/>
      <w:szCs w:val="26"/>
    </w:rPr>
  </w:style>
  <w:style w:type="character" w:customStyle="1" w:styleId="berschrift3Zchn">
    <w:name w:val="Überschrift 3 Zchn"/>
    <w:link w:val="berschrift3"/>
    <w:uiPriority w:val="9"/>
    <w:rsid w:val="00592F01"/>
    <w:rPr>
      <w:rFonts w:ascii="Arial" w:eastAsia="Times New Roman" w:hAnsi="Arial" w:cs="Times New Roman"/>
      <w:b/>
      <w:bCs/>
      <w:color w:val="000000"/>
      <w:sz w:val="24"/>
    </w:rPr>
  </w:style>
  <w:style w:type="character" w:customStyle="1" w:styleId="berschrift4Zchn">
    <w:name w:val="Überschrift 4 Zchn"/>
    <w:link w:val="berschrift4"/>
    <w:uiPriority w:val="9"/>
    <w:rsid w:val="00592F01"/>
    <w:rPr>
      <w:rFonts w:ascii="Arial" w:eastAsia="Times New Roman" w:hAnsi="Arial" w:cs="Times New Roman"/>
      <w:b/>
      <w:bCs/>
      <w:i/>
      <w:iCs/>
      <w:color w:val="000000"/>
      <w:sz w:val="24"/>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sid w:val="0048606B"/>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table" w:styleId="Tabellenraster">
    <w:name w:val="Table Grid"/>
    <w:basedOn w:val="NormaleTabelle"/>
    <w:uiPriority w:val="59"/>
    <w:rsid w:val="00EE1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5387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 Tobias</dc:creator>
  <cp:keywords/>
  <cp:lastModifiedBy>Müller, Lena</cp:lastModifiedBy>
  <cp:revision>2</cp:revision>
  <dcterms:created xsi:type="dcterms:W3CDTF">2024-06-12T09:40:00Z</dcterms:created>
  <dcterms:modified xsi:type="dcterms:W3CDTF">2024-06-12T09:40:00Z</dcterms:modified>
</cp:coreProperties>
</file>