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82F" w:rsidRDefault="00E5182F">
      <w:pPr>
        <w:jc w:val="center"/>
      </w:pPr>
      <w:r>
        <w:rPr>
          <w:i/>
          <w:sz w:val="20"/>
          <w:szCs w:val="20"/>
        </w:rPr>
        <w:t>Länderübergreifender Workshop zur Umsetzung des neuen KMK-Rahmenlehrplans „Umwelttechnische Berufe“, am 22.04. – 24.04.2024 in Neuendettelsau</w:t>
      </w:r>
    </w:p>
    <w:p w:rsidR="00E5182F" w:rsidRDefault="00E5182F">
      <w:r>
        <w:rPr>
          <w:b/>
        </w:rPr>
        <w:t>Länderübergreifende Darstellung von Lernsituationen</w:t>
      </w:r>
    </w:p>
    <w:p w:rsidR="00E5182F" w:rsidRDefault="00E5182F">
      <w:pPr>
        <w:spacing w:after="0"/>
      </w:pPr>
      <w:r>
        <w:t xml:space="preserve">Anordnung der Lernsituation im Lernfeld </w:t>
      </w:r>
      <w:r w:rsidR="00DC2484">
        <w:t xml:space="preserve">5 </w:t>
      </w:r>
    </w:p>
    <w:tbl>
      <w:tblPr>
        <w:tblW w:w="0" w:type="auto"/>
        <w:tblInd w:w="-5" w:type="dxa"/>
        <w:tblLayout w:type="fixed"/>
        <w:tblLook w:val="0000" w:firstRow="0" w:lastRow="0" w:firstColumn="0" w:lastColumn="0" w:noHBand="0" w:noVBand="0"/>
      </w:tblPr>
      <w:tblGrid>
        <w:gridCol w:w="675"/>
        <w:gridCol w:w="5812"/>
        <w:gridCol w:w="2735"/>
      </w:tblGrid>
      <w:tr w:rsidR="00E5182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
              </w:rPr>
              <w:t>Nr.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
              </w:rPr>
              <w:t>Abfolge der Lernsituationen</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
              </w:rPr>
              <w:t>Zeitrichtwerte (</w:t>
            </w:r>
            <w:proofErr w:type="spellStart"/>
            <w:r>
              <w:rPr>
                <w:b/>
              </w:rPr>
              <w:t>UStd</w:t>
            </w:r>
            <w:proofErr w:type="spellEnd"/>
            <w:r>
              <w:rPr>
                <w:b/>
              </w:rPr>
              <w:t>.)</w:t>
            </w:r>
          </w:p>
        </w:tc>
      </w:tr>
      <w:tr w:rsidR="00E5182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t>5.1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t>Kanalbegehung durchzuführen</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Cs/>
              </w:rPr>
              <w:t>30 Std.</w:t>
            </w:r>
          </w:p>
        </w:tc>
      </w:tr>
      <w:tr w:rsidR="00E5182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t>5.2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Cs/>
              </w:rPr>
              <w:t>Behältereinstieg durchführen</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line="240" w:lineRule="auto"/>
            </w:pPr>
            <w:r>
              <w:rPr>
                <w:bCs/>
              </w:rPr>
              <w:t>10 Std.</w:t>
            </w:r>
          </w:p>
        </w:tc>
      </w:tr>
    </w:tbl>
    <w:p w:rsidR="00E5182F" w:rsidRDefault="00E5182F">
      <w:pPr>
        <w:rPr>
          <w:b/>
        </w:rPr>
      </w:pPr>
    </w:p>
    <w:tbl>
      <w:tblPr>
        <w:tblW w:w="0" w:type="auto"/>
        <w:tblInd w:w="-5" w:type="dxa"/>
        <w:tblLayout w:type="fixed"/>
        <w:tblLook w:val="0000" w:firstRow="0" w:lastRow="0" w:firstColumn="0" w:lastColumn="0" w:noHBand="0" w:noVBand="0"/>
      </w:tblPr>
      <w:tblGrid>
        <w:gridCol w:w="4606"/>
        <w:gridCol w:w="4616"/>
      </w:tblGrid>
      <w:tr w:rsidR="00E5182F">
        <w:tc>
          <w:tcPr>
            <w:tcW w:w="9222" w:type="dxa"/>
            <w:gridSpan w:val="2"/>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pPr>
            <w:r>
              <w:rPr>
                <w:b/>
              </w:rPr>
              <w:t>Curricularer Bezug</w:t>
            </w:r>
            <w:r>
              <w:rPr>
                <w:b/>
                <w:vertAlign w:val="superscript"/>
              </w:rPr>
              <w:t>1</w:t>
            </w:r>
            <w:r>
              <w:rPr>
                <w:b/>
              </w:rPr>
              <w:t>:</w:t>
            </w:r>
          </w:p>
          <w:p w:rsidR="00E5182F" w:rsidRDefault="00E5182F">
            <w:pPr>
              <w:spacing w:after="0"/>
            </w:pPr>
            <w:r>
              <w:t>Ausbildungsjahr: 2</w:t>
            </w:r>
          </w:p>
          <w:p w:rsidR="00E5182F" w:rsidRDefault="00E5182F">
            <w:pPr>
              <w:spacing w:after="0"/>
            </w:pPr>
            <w:r>
              <w:t>Lernfeld Nr.: 5:              In enge Räume und Behälter einsteigen (40 Std.)</w:t>
            </w:r>
          </w:p>
          <w:p w:rsidR="00E5182F" w:rsidRDefault="00E5182F">
            <w:pPr>
              <w:spacing w:after="0"/>
            </w:pPr>
            <w:r>
              <w:t xml:space="preserve">Lernsituation Nr.:5.1:    </w:t>
            </w:r>
            <w:r w:rsidR="004805A6">
              <w:t>Kanalbegehung</w:t>
            </w:r>
            <w:r>
              <w:t xml:space="preserve"> durchführen (30 Std.)</w:t>
            </w:r>
          </w:p>
        </w:tc>
      </w:tr>
      <w:tr w:rsidR="00E5182F">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Handlungssituation</w:t>
            </w:r>
            <w:r>
              <w:rPr>
                <w:b/>
                <w:vertAlign w:val="superscript"/>
              </w:rPr>
              <w:t>4</w:t>
            </w:r>
            <w:r>
              <w:rPr>
                <w:b/>
              </w:rPr>
              <w:t>:</w:t>
            </w:r>
          </w:p>
          <w:p w:rsidR="00E5182F" w:rsidRDefault="00E5182F">
            <w:r>
              <w:t>Der Betrieb erhält den Auftrag eine Kanalbegehung durchzuführen. Hierzu muss eine Schachteinstieg geplant werden. Zu diesem Zweck sollen die Schüler eine Gefährdungsbeurteilung auf Grundlage einer Checkliste für die durchzuführenden Arbeiten erstellen.</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Handlungsergebnis</w:t>
            </w:r>
            <w:r>
              <w:rPr>
                <w:b/>
                <w:vertAlign w:val="superscript"/>
              </w:rPr>
              <w:t>5</w:t>
            </w:r>
            <w:r>
              <w:rPr>
                <w:b/>
              </w:rPr>
              <w:t>:</w:t>
            </w:r>
          </w:p>
          <w:p w:rsidR="00E5182F" w:rsidRDefault="00E5182F">
            <w:pPr>
              <w:spacing w:after="0"/>
            </w:pPr>
            <w:proofErr w:type="spellStart"/>
            <w:r>
              <w:t>SuS</w:t>
            </w:r>
            <w:proofErr w:type="spellEnd"/>
            <w:r>
              <w:t xml:space="preserve"> erstellen eine Checkliste anhand von Informationstexten und entwickeln spezifischen Gefährdungsbeurteilung zur Schachteinstieg</w:t>
            </w:r>
          </w:p>
          <w:p w:rsidR="00E5182F" w:rsidRDefault="00E5182F">
            <w:pPr>
              <w:spacing w:after="0"/>
            </w:pPr>
            <w:r>
              <w:rPr>
                <w:rFonts w:eastAsia="Arial"/>
              </w:rPr>
              <w:t xml:space="preserve"> </w:t>
            </w:r>
          </w:p>
          <w:p w:rsidR="00E5182F" w:rsidRDefault="00E5182F">
            <w:r>
              <w:t>Beurteilen und Dokumentieren unter Berücksichtigung ökologischer und sicherheitstechnischer Aspekte ein Sicherheitskonzept für den Einstieg in enge Räume und Behälter.</w:t>
            </w:r>
          </w:p>
        </w:tc>
      </w:tr>
      <w:tr w:rsidR="00E5182F">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pPr>
            <w:r>
              <w:rPr>
                <w:b/>
              </w:rPr>
              <w:t>Berufliche Handlungskompetenz</w:t>
            </w:r>
            <w:r>
              <w:rPr>
                <w:b/>
                <w:vertAlign w:val="superscript"/>
              </w:rPr>
              <w:t>6</w:t>
            </w:r>
            <w:r>
              <w:rPr>
                <w:b/>
              </w:rPr>
              <w:t xml:space="preserve"> als </w:t>
            </w:r>
          </w:p>
          <w:p w:rsidR="00E5182F" w:rsidRDefault="00E5182F">
            <w:pPr>
              <w:spacing w:after="0"/>
            </w:pPr>
            <w:r>
              <w:rPr>
                <w:b/>
              </w:rPr>
              <w:t>vollständige Handlung</w:t>
            </w:r>
            <w:r>
              <w:rPr>
                <w:b/>
                <w:vertAlign w:val="superscript"/>
              </w:rPr>
              <w:t>7</w:t>
            </w:r>
          </w:p>
          <w:p w:rsidR="00E5182F" w:rsidRDefault="00E5182F">
            <w:pPr>
              <w:spacing w:after="0"/>
            </w:pPr>
            <w:r>
              <w:t>Die Schülerinnen und Schüler</w:t>
            </w:r>
          </w:p>
          <w:p w:rsidR="00E5182F" w:rsidRDefault="00E5182F">
            <w:pPr>
              <w:numPr>
                <w:ilvl w:val="0"/>
                <w:numId w:val="2"/>
              </w:numPr>
              <w:autoSpaceDE w:val="0"/>
              <w:spacing w:after="0" w:line="240" w:lineRule="auto"/>
            </w:pPr>
            <w:r>
              <w:rPr>
                <w:b/>
                <w:bCs/>
                <w:sz w:val="22"/>
                <w:lang w:eastAsia="de-DE"/>
              </w:rPr>
              <w:t>analysieren</w:t>
            </w:r>
            <w:r>
              <w:rPr>
                <w:sz w:val="22"/>
                <w:lang w:eastAsia="de-DE"/>
              </w:rPr>
              <w:t xml:space="preserve"> den Arbeitsauftrag</w:t>
            </w:r>
          </w:p>
          <w:p w:rsidR="00E5182F" w:rsidRDefault="00E5182F">
            <w:pPr>
              <w:numPr>
                <w:ilvl w:val="0"/>
                <w:numId w:val="2"/>
              </w:numPr>
              <w:autoSpaceDE w:val="0"/>
              <w:spacing w:after="0" w:line="240" w:lineRule="auto"/>
            </w:pPr>
            <w:r>
              <w:rPr>
                <w:b/>
                <w:bCs/>
                <w:sz w:val="22"/>
                <w:lang w:eastAsia="de-DE"/>
              </w:rPr>
              <w:t xml:space="preserve">informieren </w:t>
            </w:r>
            <w:r>
              <w:rPr>
                <w:sz w:val="22"/>
                <w:lang w:eastAsia="de-DE"/>
              </w:rPr>
              <w:t>sich über Gefahren und Sicherheitsmaßnahmen</w:t>
            </w:r>
          </w:p>
          <w:p w:rsidR="00E5182F" w:rsidRDefault="00E5182F">
            <w:pPr>
              <w:numPr>
                <w:ilvl w:val="0"/>
                <w:numId w:val="2"/>
              </w:numPr>
              <w:autoSpaceDE w:val="0"/>
              <w:spacing w:after="0" w:line="240" w:lineRule="auto"/>
            </w:pPr>
            <w:r>
              <w:rPr>
                <w:sz w:val="22"/>
                <w:lang w:eastAsia="de-DE"/>
              </w:rPr>
              <w:t>ermitteln die Grenzwerte für Gasgemische und Stäube</w:t>
            </w:r>
          </w:p>
          <w:p w:rsidR="00E5182F" w:rsidRDefault="00E5182F">
            <w:pPr>
              <w:numPr>
                <w:ilvl w:val="0"/>
                <w:numId w:val="2"/>
              </w:numPr>
              <w:autoSpaceDE w:val="0"/>
              <w:spacing w:after="0" w:line="240" w:lineRule="auto"/>
            </w:pPr>
            <w:r>
              <w:rPr>
                <w:b/>
                <w:bCs/>
                <w:sz w:val="22"/>
                <w:lang w:eastAsia="de-DE"/>
              </w:rPr>
              <w:t xml:space="preserve">planen </w:t>
            </w:r>
            <w:r>
              <w:rPr>
                <w:sz w:val="22"/>
                <w:lang w:eastAsia="de-DE"/>
              </w:rPr>
              <w:t xml:space="preserve">den Einstieg unter Beachtung der Rechtsvorschriften und beachten dabei die örtlichen Gegebenheiten. </w:t>
            </w:r>
          </w:p>
          <w:p w:rsidR="00E5182F" w:rsidRDefault="00E5182F">
            <w:pPr>
              <w:numPr>
                <w:ilvl w:val="0"/>
                <w:numId w:val="2"/>
              </w:numPr>
              <w:autoSpaceDE w:val="0"/>
              <w:spacing w:after="0" w:line="240" w:lineRule="auto"/>
            </w:pPr>
            <w:r>
              <w:rPr>
                <w:b/>
                <w:bCs/>
                <w:sz w:val="22"/>
                <w:lang w:eastAsia="de-DE"/>
              </w:rPr>
              <w:t xml:space="preserve">bereiten </w:t>
            </w:r>
            <w:r>
              <w:rPr>
                <w:sz w:val="22"/>
                <w:lang w:eastAsia="de-DE"/>
              </w:rPr>
              <w:t xml:space="preserve">den Einstieg vor und sichern das Arbeitsumfeld entsprechend vor </w:t>
            </w:r>
          </w:p>
          <w:p w:rsidR="00E5182F" w:rsidRDefault="00E5182F">
            <w:pPr>
              <w:numPr>
                <w:ilvl w:val="0"/>
                <w:numId w:val="2"/>
              </w:numPr>
              <w:autoSpaceDE w:val="0"/>
              <w:spacing w:after="0" w:line="240" w:lineRule="auto"/>
            </w:pPr>
            <w:r>
              <w:rPr>
                <w:sz w:val="22"/>
                <w:lang w:eastAsia="de-DE"/>
              </w:rPr>
              <w:t>steigen unter Beachtung des</w:t>
            </w:r>
          </w:p>
          <w:p w:rsidR="00E5182F" w:rsidRDefault="00E5182F">
            <w:pPr>
              <w:autoSpaceDE w:val="0"/>
              <w:spacing w:after="0" w:line="240" w:lineRule="auto"/>
            </w:pPr>
            <w:r>
              <w:rPr>
                <w:rFonts w:eastAsia="Arial"/>
                <w:sz w:val="22"/>
                <w:lang w:eastAsia="de-DE"/>
              </w:rPr>
              <w:t xml:space="preserve">           </w:t>
            </w:r>
            <w:r>
              <w:rPr>
                <w:sz w:val="22"/>
                <w:lang w:eastAsia="de-DE"/>
              </w:rPr>
              <w:t xml:space="preserve">Sicherheitskonzepts ein. </w:t>
            </w:r>
          </w:p>
          <w:p w:rsidR="00E5182F" w:rsidRDefault="00E5182F">
            <w:pPr>
              <w:numPr>
                <w:ilvl w:val="0"/>
                <w:numId w:val="2"/>
              </w:numPr>
              <w:autoSpaceDE w:val="0"/>
              <w:spacing w:after="0" w:line="240" w:lineRule="auto"/>
            </w:pPr>
            <w:r>
              <w:rPr>
                <w:sz w:val="22"/>
                <w:lang w:eastAsia="de-DE"/>
              </w:rPr>
              <w:t xml:space="preserve">kommunizieren präzise mit dem eingerichteten Sicherheitsposten. </w:t>
            </w:r>
          </w:p>
          <w:p w:rsidR="00E5182F" w:rsidRDefault="00E5182F">
            <w:pPr>
              <w:numPr>
                <w:ilvl w:val="0"/>
                <w:numId w:val="2"/>
              </w:numPr>
              <w:autoSpaceDE w:val="0"/>
              <w:spacing w:after="0" w:line="240" w:lineRule="auto"/>
            </w:pPr>
            <w:r>
              <w:rPr>
                <w:b/>
                <w:bCs/>
                <w:sz w:val="22"/>
                <w:lang w:eastAsia="de-DE"/>
              </w:rPr>
              <w:t xml:space="preserve">beurteilen </w:t>
            </w:r>
            <w:r>
              <w:rPr>
                <w:sz w:val="22"/>
                <w:lang w:eastAsia="de-DE"/>
              </w:rPr>
              <w:t>und dokumentieren auch mit digitalen Medien die Umsetzung des Sicherheitskonzeptes sowie die Einhaltung der Grenzwerte unter Beachtung</w:t>
            </w:r>
          </w:p>
          <w:p w:rsidR="00E5182F" w:rsidRDefault="00E5182F">
            <w:pPr>
              <w:numPr>
                <w:ilvl w:val="0"/>
                <w:numId w:val="2"/>
              </w:numPr>
              <w:autoSpaceDE w:val="0"/>
              <w:spacing w:after="0" w:line="240" w:lineRule="auto"/>
            </w:pPr>
            <w:r>
              <w:rPr>
                <w:b/>
                <w:bCs/>
                <w:sz w:val="22"/>
                <w:lang w:eastAsia="de-DE"/>
              </w:rPr>
              <w:t xml:space="preserve">reflektieren </w:t>
            </w:r>
            <w:r>
              <w:rPr>
                <w:sz w:val="22"/>
                <w:lang w:eastAsia="de-DE"/>
              </w:rPr>
              <w:t xml:space="preserve">das durchgeführte Sicherheitskonzept und prüfen </w:t>
            </w:r>
          </w:p>
          <w:p w:rsidR="00E5182F" w:rsidRDefault="00E5182F">
            <w:pPr>
              <w:autoSpaceDE w:val="0"/>
              <w:spacing w:after="0" w:line="240" w:lineRule="auto"/>
            </w:pPr>
            <w:r>
              <w:rPr>
                <w:rFonts w:eastAsia="Arial"/>
                <w:sz w:val="22"/>
                <w:lang w:eastAsia="de-DE"/>
              </w:rPr>
              <w:t xml:space="preserve">            </w:t>
            </w:r>
            <w:r>
              <w:rPr>
                <w:sz w:val="22"/>
                <w:lang w:eastAsia="de-DE"/>
              </w:rPr>
              <w:t xml:space="preserve">auf Optimierung </w:t>
            </w:r>
            <w:r>
              <w:t xml:space="preserve"> </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Konkretisierung der Inhalte</w:t>
            </w:r>
            <w:r>
              <w:rPr>
                <w:b/>
                <w:vertAlign w:val="superscript"/>
              </w:rPr>
              <w:t>8</w:t>
            </w:r>
            <w:r>
              <w:rPr>
                <w:b/>
              </w:rPr>
              <w:t xml:space="preserve">: </w:t>
            </w:r>
          </w:p>
          <w:p w:rsidR="00E5182F" w:rsidRDefault="00E5182F">
            <w:r>
              <w:t>- Freimessen</w:t>
            </w:r>
            <w:r>
              <w:rPr>
                <w:b/>
                <w:bCs/>
              </w:rPr>
              <w:t xml:space="preserve">, </w:t>
            </w:r>
            <w:r>
              <w:rPr>
                <w:bCs/>
              </w:rPr>
              <w:t>Gaswarngerät / Gasmessungen</w:t>
            </w:r>
          </w:p>
          <w:p w:rsidR="00E5182F" w:rsidRDefault="00E5182F">
            <w:r>
              <w:rPr>
                <w:bCs/>
              </w:rPr>
              <w:t>- Absturzsicherung (Dreibein)</w:t>
            </w:r>
          </w:p>
          <w:p w:rsidR="00E5182F" w:rsidRDefault="00E5182F">
            <w:r>
              <w:rPr>
                <w:bCs/>
              </w:rPr>
              <w:t>- Natürliche und Zwangsbelüftung</w:t>
            </w:r>
          </w:p>
          <w:p w:rsidR="00E5182F" w:rsidRDefault="00E5182F">
            <w:r>
              <w:rPr>
                <w:bCs/>
              </w:rPr>
              <w:t>- PSA (Atemschutz)</w:t>
            </w:r>
          </w:p>
          <w:p w:rsidR="00E5182F" w:rsidRDefault="00E5182F">
            <w:r>
              <w:rPr>
                <w:bCs/>
              </w:rPr>
              <w:t>- Selbstretter</w:t>
            </w:r>
          </w:p>
          <w:p w:rsidR="00E5182F" w:rsidRDefault="00E5182F">
            <w:r>
              <w:rPr>
                <w:bCs/>
              </w:rPr>
              <w:t>- Sicherheitskonzept (Absperren, Sicherheitsposten)</w:t>
            </w:r>
          </w:p>
          <w:p w:rsidR="00E5182F" w:rsidRDefault="00E5182F">
            <w:r>
              <w:rPr>
                <w:bCs/>
              </w:rPr>
              <w:t>- Rettungsmaßnahmen</w:t>
            </w:r>
          </w:p>
          <w:p w:rsidR="00E5182F" w:rsidRDefault="00E5182F">
            <w:pPr>
              <w:rPr>
                <w:bCs/>
              </w:rPr>
            </w:pPr>
          </w:p>
          <w:p w:rsidR="00E5182F" w:rsidRDefault="00E5182F">
            <w:pPr>
              <w:rPr>
                <w:bCs/>
              </w:rPr>
            </w:pPr>
          </w:p>
          <w:p w:rsidR="00E5182F" w:rsidRDefault="00E5182F">
            <w:pPr>
              <w:rPr>
                <w:b/>
                <w:bCs/>
              </w:rPr>
            </w:pPr>
          </w:p>
          <w:p w:rsidR="00E5182F" w:rsidRDefault="00E5182F">
            <w:pPr>
              <w:rPr>
                <w:b/>
              </w:rPr>
            </w:pPr>
          </w:p>
        </w:tc>
      </w:tr>
      <w:tr w:rsidR="00E5182F">
        <w:tc>
          <w:tcPr>
            <w:tcW w:w="9222" w:type="dxa"/>
            <w:gridSpan w:val="2"/>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lastRenderedPageBreak/>
              <w:t>Didaktisch-methodische Anregungen</w:t>
            </w:r>
            <w:r>
              <w:rPr>
                <w:b/>
                <w:vertAlign w:val="superscript"/>
              </w:rPr>
              <w:t>9</w:t>
            </w:r>
            <w:r>
              <w:rPr>
                <w:b/>
              </w:rPr>
              <w:t>:</w:t>
            </w:r>
          </w:p>
          <w:p w:rsidR="00E5182F" w:rsidRDefault="00E5182F">
            <w:pPr>
              <w:numPr>
                <w:ilvl w:val="0"/>
                <w:numId w:val="2"/>
              </w:numPr>
              <w:autoSpaceDE w:val="0"/>
              <w:spacing w:after="0" w:line="240" w:lineRule="auto"/>
            </w:pPr>
            <w:r>
              <w:rPr>
                <w:sz w:val="22"/>
                <w:lang w:eastAsia="de-DE"/>
              </w:rPr>
              <w:t>kooperative Lernmethoden (Gruppenpuzzle, Lerntempoduett, Think-Pair-Share)</w:t>
            </w:r>
          </w:p>
          <w:p w:rsidR="00E5182F" w:rsidRDefault="00E5182F">
            <w:pPr>
              <w:numPr>
                <w:ilvl w:val="0"/>
                <w:numId w:val="2"/>
              </w:numPr>
              <w:autoSpaceDE w:val="0"/>
              <w:spacing w:after="0" w:line="240" w:lineRule="auto"/>
            </w:pPr>
            <w:r>
              <w:rPr>
                <w:sz w:val="22"/>
                <w:lang w:eastAsia="de-DE"/>
              </w:rPr>
              <w:t>selbstorganisiertes Lernen (</w:t>
            </w:r>
            <w:proofErr w:type="spellStart"/>
            <w:r>
              <w:rPr>
                <w:sz w:val="22"/>
                <w:lang w:eastAsia="de-DE"/>
              </w:rPr>
              <w:t>Advanced</w:t>
            </w:r>
            <w:proofErr w:type="spellEnd"/>
            <w:r>
              <w:rPr>
                <w:sz w:val="22"/>
                <w:lang w:eastAsia="de-DE"/>
              </w:rPr>
              <w:t xml:space="preserve"> Organizer) </w:t>
            </w:r>
          </w:p>
          <w:p w:rsidR="00E5182F" w:rsidRDefault="00E5182F">
            <w:pPr>
              <w:numPr>
                <w:ilvl w:val="0"/>
                <w:numId w:val="2"/>
              </w:numPr>
              <w:autoSpaceDE w:val="0"/>
              <w:spacing w:after="0" w:line="240" w:lineRule="auto"/>
            </w:pPr>
            <w:r>
              <w:rPr>
                <w:sz w:val="22"/>
                <w:lang w:eastAsia="de-DE"/>
              </w:rPr>
              <w:t xml:space="preserve">Reflexion </w:t>
            </w:r>
            <w:r w:rsidR="00DC2484">
              <w:rPr>
                <w:sz w:val="22"/>
                <w:lang w:eastAsia="de-DE"/>
              </w:rPr>
              <w:t>des Arbeitsprozesses</w:t>
            </w:r>
          </w:p>
          <w:p w:rsidR="00E5182F" w:rsidRDefault="00E5182F">
            <w:pPr>
              <w:numPr>
                <w:ilvl w:val="0"/>
                <w:numId w:val="2"/>
              </w:numPr>
              <w:autoSpaceDE w:val="0"/>
              <w:spacing w:after="0" w:line="240" w:lineRule="auto"/>
            </w:pPr>
            <w:r>
              <w:rPr>
                <w:bCs/>
              </w:rPr>
              <w:t>Arbeitsteilige Gruppenarbeit</w:t>
            </w:r>
          </w:p>
        </w:tc>
      </w:tr>
    </w:tbl>
    <w:p w:rsidR="00E5182F" w:rsidRDefault="00E5182F">
      <w:pPr>
        <w:rPr>
          <w:b/>
        </w:rPr>
      </w:pPr>
    </w:p>
    <w:p w:rsidR="00E5182F" w:rsidRDefault="00E5182F">
      <w:r>
        <w:t>_____________</w:t>
      </w:r>
    </w:p>
    <w:tbl>
      <w:tblPr>
        <w:tblW w:w="0" w:type="auto"/>
        <w:tblLayout w:type="fixed"/>
        <w:tblLook w:val="0000" w:firstRow="0" w:lastRow="0" w:firstColumn="0" w:lastColumn="0" w:noHBand="0" w:noVBand="0"/>
      </w:tblPr>
      <w:tblGrid>
        <w:gridCol w:w="534"/>
        <w:gridCol w:w="8678"/>
      </w:tblGrid>
      <w:tr w:rsidR="00E5182F">
        <w:tc>
          <w:tcPr>
            <w:tcW w:w="534" w:type="dxa"/>
            <w:shd w:val="clear" w:color="auto" w:fill="auto"/>
          </w:tcPr>
          <w:p w:rsidR="00E5182F" w:rsidRDefault="00E5182F">
            <w:pPr>
              <w:spacing w:after="0"/>
              <w:jc w:val="right"/>
            </w:pPr>
            <w:r>
              <w:rPr>
                <w:vertAlign w:val="superscript"/>
              </w:rPr>
              <w:t>1</w:t>
            </w:r>
          </w:p>
        </w:tc>
        <w:tc>
          <w:tcPr>
            <w:tcW w:w="8678" w:type="dxa"/>
            <w:shd w:val="clear" w:color="auto" w:fill="auto"/>
          </w:tcPr>
          <w:p w:rsidR="00E5182F" w:rsidRDefault="00E5182F">
            <w:pPr>
              <w:spacing w:after="0" w:line="240" w:lineRule="auto"/>
            </w:pPr>
            <w:r>
              <w:rPr>
                <w:sz w:val="18"/>
                <w:szCs w:val="18"/>
              </w:rPr>
              <w:t>In diesem Bereich ist es anlassbezogen sinnvoll, auch Querverweise zu anderen Lernsituationen bzw. Lernfeldern aufzuführen.</w:t>
            </w:r>
          </w:p>
        </w:tc>
      </w:tr>
      <w:tr w:rsidR="00E5182F">
        <w:tc>
          <w:tcPr>
            <w:tcW w:w="534" w:type="dxa"/>
            <w:shd w:val="clear" w:color="auto" w:fill="auto"/>
          </w:tcPr>
          <w:p w:rsidR="00E5182F" w:rsidRDefault="00E5182F">
            <w:pPr>
              <w:spacing w:after="0"/>
              <w:jc w:val="right"/>
            </w:pPr>
            <w:r>
              <w:rPr>
                <w:vertAlign w:val="superscript"/>
              </w:rPr>
              <w:t>2</w:t>
            </w:r>
          </w:p>
        </w:tc>
        <w:tc>
          <w:tcPr>
            <w:tcW w:w="8678" w:type="dxa"/>
            <w:shd w:val="clear" w:color="auto" w:fill="auto"/>
          </w:tcPr>
          <w:p w:rsidR="00E5182F" w:rsidRDefault="00E5182F">
            <w:pPr>
              <w:spacing w:after="0" w:line="240" w:lineRule="auto"/>
            </w:pPr>
            <w:r>
              <w:rPr>
                <w:sz w:val="18"/>
                <w:szCs w:val="18"/>
              </w:rPr>
              <w:t>Der aussagefähige Titel der Lernsituation ist kurz, prägnant und beschreibt die grundsätzliche Handlung (z. B. durch Substantiv und Verb).</w:t>
            </w:r>
          </w:p>
        </w:tc>
      </w:tr>
      <w:tr w:rsidR="00E5182F">
        <w:tc>
          <w:tcPr>
            <w:tcW w:w="534" w:type="dxa"/>
            <w:shd w:val="clear" w:color="auto" w:fill="auto"/>
          </w:tcPr>
          <w:p w:rsidR="00E5182F" w:rsidRDefault="00E5182F">
            <w:pPr>
              <w:spacing w:after="0"/>
              <w:jc w:val="right"/>
            </w:pPr>
            <w:r>
              <w:rPr>
                <w:vertAlign w:val="superscript"/>
              </w:rPr>
              <w:t>3</w:t>
            </w:r>
          </w:p>
        </w:tc>
        <w:tc>
          <w:tcPr>
            <w:tcW w:w="8678" w:type="dxa"/>
            <w:shd w:val="clear" w:color="auto" w:fill="auto"/>
          </w:tcPr>
          <w:p w:rsidR="00E5182F" w:rsidRDefault="00E5182F">
            <w:pPr>
              <w:spacing w:after="0" w:line="240" w:lineRule="auto"/>
            </w:pPr>
            <w:r>
              <w:rPr>
                <w:sz w:val="18"/>
                <w:szCs w:val="18"/>
              </w:rPr>
              <w:t>Der Zeitrichtwert bezieht sich auf die Summe einzelner Unterrichtsstunden der Lernsituation und wird aus dem zu erwartenden Arbeitsaufwand abgeleitet. Bezugspunkt ist der Zeitrichtwert des Rahmenlehrplans.</w:t>
            </w:r>
          </w:p>
          <w:p w:rsidR="00E5182F" w:rsidRDefault="00E5182F">
            <w:pPr>
              <w:spacing w:after="0" w:line="240" w:lineRule="auto"/>
              <w:rPr>
                <w:sz w:val="18"/>
                <w:szCs w:val="18"/>
              </w:rPr>
            </w:pPr>
          </w:p>
        </w:tc>
      </w:tr>
      <w:tr w:rsidR="00E5182F">
        <w:tc>
          <w:tcPr>
            <w:tcW w:w="534" w:type="dxa"/>
            <w:shd w:val="clear" w:color="auto" w:fill="auto"/>
          </w:tcPr>
          <w:p w:rsidR="00E5182F" w:rsidRDefault="00E5182F">
            <w:pPr>
              <w:spacing w:after="0"/>
              <w:jc w:val="right"/>
            </w:pPr>
            <w:r>
              <w:rPr>
                <w:vertAlign w:val="superscript"/>
              </w:rPr>
              <w:t>4</w:t>
            </w:r>
          </w:p>
        </w:tc>
        <w:tc>
          <w:tcPr>
            <w:tcW w:w="8678" w:type="dxa"/>
            <w:shd w:val="clear" w:color="auto" w:fill="auto"/>
          </w:tcPr>
          <w:p w:rsidR="00E5182F" w:rsidRDefault="00E5182F">
            <w:pPr>
              <w:spacing w:after="0" w:line="240" w:lineRule="auto"/>
            </w:pPr>
            <w:r>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p w:rsidR="00E5182F" w:rsidRDefault="00E5182F">
            <w:pPr>
              <w:spacing w:after="0" w:line="240" w:lineRule="auto"/>
              <w:rPr>
                <w:sz w:val="18"/>
                <w:szCs w:val="18"/>
              </w:rPr>
            </w:pPr>
          </w:p>
        </w:tc>
      </w:tr>
      <w:tr w:rsidR="00E5182F">
        <w:tc>
          <w:tcPr>
            <w:tcW w:w="534" w:type="dxa"/>
            <w:shd w:val="clear" w:color="auto" w:fill="auto"/>
          </w:tcPr>
          <w:p w:rsidR="00E5182F" w:rsidRDefault="00E5182F">
            <w:pPr>
              <w:spacing w:after="0"/>
              <w:jc w:val="right"/>
            </w:pPr>
            <w:r>
              <w:rPr>
                <w:vertAlign w:val="superscript"/>
              </w:rPr>
              <w:t>5</w:t>
            </w:r>
          </w:p>
        </w:tc>
        <w:tc>
          <w:tcPr>
            <w:tcW w:w="8678" w:type="dxa"/>
            <w:shd w:val="clear" w:color="auto" w:fill="auto"/>
          </w:tcPr>
          <w:p w:rsidR="00E5182F" w:rsidRDefault="00E5182F">
            <w:pPr>
              <w:spacing w:after="0" w:line="240" w:lineRule="auto"/>
            </w:pPr>
            <w:r>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p w:rsidR="00E5182F" w:rsidRDefault="00E5182F">
            <w:pPr>
              <w:spacing w:after="0" w:line="240" w:lineRule="auto"/>
              <w:rPr>
                <w:sz w:val="18"/>
                <w:szCs w:val="18"/>
              </w:rPr>
            </w:pPr>
          </w:p>
        </w:tc>
      </w:tr>
      <w:tr w:rsidR="00E5182F">
        <w:tc>
          <w:tcPr>
            <w:tcW w:w="534" w:type="dxa"/>
            <w:shd w:val="clear" w:color="auto" w:fill="auto"/>
          </w:tcPr>
          <w:p w:rsidR="00E5182F" w:rsidRDefault="00E5182F">
            <w:pPr>
              <w:spacing w:after="0"/>
              <w:jc w:val="right"/>
            </w:pPr>
            <w:r>
              <w:rPr>
                <w:vertAlign w:val="superscript"/>
              </w:rPr>
              <w:t>6</w:t>
            </w:r>
          </w:p>
        </w:tc>
        <w:tc>
          <w:tcPr>
            <w:tcW w:w="8678" w:type="dxa"/>
            <w:shd w:val="clear" w:color="auto" w:fill="auto"/>
          </w:tcPr>
          <w:p w:rsidR="00E5182F" w:rsidRDefault="00E5182F">
            <w:pPr>
              <w:spacing w:after="0" w:line="240" w:lineRule="auto"/>
            </w:pPr>
            <w:r>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E5182F">
        <w:tc>
          <w:tcPr>
            <w:tcW w:w="534" w:type="dxa"/>
            <w:shd w:val="clear" w:color="auto" w:fill="auto"/>
          </w:tcPr>
          <w:p w:rsidR="00E5182F" w:rsidRDefault="00E5182F">
            <w:pPr>
              <w:spacing w:after="0"/>
              <w:jc w:val="right"/>
            </w:pPr>
            <w:r>
              <w:rPr>
                <w:vertAlign w:val="superscript"/>
              </w:rPr>
              <w:t>7</w:t>
            </w:r>
          </w:p>
        </w:tc>
        <w:tc>
          <w:tcPr>
            <w:tcW w:w="8678" w:type="dxa"/>
            <w:shd w:val="clear" w:color="auto" w:fill="auto"/>
          </w:tcPr>
          <w:p w:rsidR="00E5182F" w:rsidRDefault="00E5182F">
            <w:pPr>
              <w:spacing w:after="0" w:line="240" w:lineRule="auto"/>
            </w:pPr>
            <w:r>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E5182F">
        <w:tc>
          <w:tcPr>
            <w:tcW w:w="534" w:type="dxa"/>
            <w:shd w:val="clear" w:color="auto" w:fill="auto"/>
          </w:tcPr>
          <w:p w:rsidR="00E5182F" w:rsidRDefault="00E5182F">
            <w:pPr>
              <w:spacing w:after="0"/>
              <w:jc w:val="right"/>
            </w:pPr>
            <w:r>
              <w:rPr>
                <w:vertAlign w:val="superscript"/>
              </w:rPr>
              <w:t>8</w:t>
            </w:r>
          </w:p>
        </w:tc>
        <w:tc>
          <w:tcPr>
            <w:tcW w:w="8678" w:type="dxa"/>
            <w:shd w:val="clear" w:color="auto" w:fill="auto"/>
          </w:tcPr>
          <w:p w:rsidR="00E5182F" w:rsidRDefault="00E5182F">
            <w:pPr>
              <w:spacing w:after="0" w:line="240" w:lineRule="auto"/>
            </w:pPr>
            <w:r>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p w:rsidR="00E5182F" w:rsidRDefault="00E5182F">
            <w:pPr>
              <w:spacing w:after="0" w:line="240" w:lineRule="auto"/>
              <w:rPr>
                <w:sz w:val="18"/>
                <w:szCs w:val="18"/>
              </w:rPr>
            </w:pPr>
          </w:p>
        </w:tc>
      </w:tr>
      <w:tr w:rsidR="00E5182F">
        <w:tc>
          <w:tcPr>
            <w:tcW w:w="534" w:type="dxa"/>
            <w:shd w:val="clear" w:color="auto" w:fill="auto"/>
          </w:tcPr>
          <w:p w:rsidR="00E5182F" w:rsidRDefault="00E5182F">
            <w:pPr>
              <w:spacing w:after="0"/>
              <w:jc w:val="right"/>
            </w:pPr>
            <w:r>
              <w:rPr>
                <w:vertAlign w:val="superscript"/>
              </w:rPr>
              <w:t>9</w:t>
            </w:r>
          </w:p>
        </w:tc>
        <w:tc>
          <w:tcPr>
            <w:tcW w:w="8678" w:type="dxa"/>
            <w:shd w:val="clear" w:color="auto" w:fill="auto"/>
          </w:tcPr>
          <w:p w:rsidR="00E5182F" w:rsidRDefault="00E5182F">
            <w:pPr>
              <w:spacing w:after="0" w:line="240" w:lineRule="auto"/>
            </w:pPr>
            <w:r>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p w:rsidR="00E5182F" w:rsidRDefault="00E5182F">
      <w:pPr>
        <w:rPr>
          <w:b/>
        </w:rPr>
      </w:pPr>
    </w:p>
    <w:tbl>
      <w:tblPr>
        <w:tblW w:w="0" w:type="auto"/>
        <w:tblInd w:w="-5" w:type="dxa"/>
        <w:tblLayout w:type="fixed"/>
        <w:tblLook w:val="0000" w:firstRow="0" w:lastRow="0" w:firstColumn="0" w:lastColumn="0" w:noHBand="0" w:noVBand="0"/>
      </w:tblPr>
      <w:tblGrid>
        <w:gridCol w:w="4606"/>
        <w:gridCol w:w="4616"/>
      </w:tblGrid>
      <w:tr w:rsidR="00E5182F">
        <w:tc>
          <w:tcPr>
            <w:tcW w:w="9222" w:type="dxa"/>
            <w:gridSpan w:val="2"/>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pPr>
            <w:r>
              <w:rPr>
                <w:b/>
              </w:rPr>
              <w:t>Curricularer Bezug</w:t>
            </w:r>
            <w:r>
              <w:rPr>
                <w:b/>
                <w:vertAlign w:val="superscript"/>
              </w:rPr>
              <w:t>1</w:t>
            </w:r>
            <w:r>
              <w:rPr>
                <w:b/>
              </w:rPr>
              <w:t>:</w:t>
            </w:r>
          </w:p>
          <w:p w:rsidR="00E5182F" w:rsidRDefault="00E5182F">
            <w:pPr>
              <w:spacing w:after="0"/>
            </w:pPr>
            <w:r>
              <w:t>Ausbildungsjahr: 2</w:t>
            </w:r>
          </w:p>
          <w:p w:rsidR="00E5182F" w:rsidRDefault="00E5182F">
            <w:pPr>
              <w:spacing w:after="0"/>
            </w:pPr>
            <w:r>
              <w:t>Lernfeld Nr.: 5:              In enge Räume und Behälter einsteigen (40 Std.)</w:t>
            </w:r>
          </w:p>
          <w:p w:rsidR="00E5182F" w:rsidRDefault="00E5182F">
            <w:pPr>
              <w:spacing w:after="0"/>
            </w:pPr>
            <w:r>
              <w:t xml:space="preserve">Lernsituation Nr.:5.2:    </w:t>
            </w:r>
            <w:r>
              <w:rPr>
                <w:bCs/>
              </w:rPr>
              <w:t>Behältereinstieg durchführen</w:t>
            </w:r>
            <w:r>
              <w:t xml:space="preserve"> (10 Std.)</w:t>
            </w:r>
          </w:p>
        </w:tc>
      </w:tr>
      <w:tr w:rsidR="00E5182F">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Handlungssituation</w:t>
            </w:r>
            <w:r>
              <w:rPr>
                <w:b/>
                <w:vertAlign w:val="superscript"/>
              </w:rPr>
              <w:t>4</w:t>
            </w:r>
            <w:r>
              <w:rPr>
                <w:b/>
              </w:rPr>
              <w:t>:</w:t>
            </w:r>
          </w:p>
          <w:p w:rsidR="00E5182F" w:rsidRDefault="00E5182F">
            <w:r>
              <w:t xml:space="preserve">Der Betrieb erhält den Auftrag einen Behälter in einer Chemieanlage zu reinigen. Ein Sicherheitskonzept liegt vor. Ein Kollege und Sie führen die Reinigungsarbeiten durch. Auf einem Mal bemerken Sie, dass der Kollege neben Ihnen im Behälter umgefallen ist und nicht mehr reagiert. </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Handlungsergebnis</w:t>
            </w:r>
            <w:r>
              <w:rPr>
                <w:b/>
                <w:vertAlign w:val="superscript"/>
              </w:rPr>
              <w:t>5</w:t>
            </w:r>
            <w:r>
              <w:rPr>
                <w:b/>
              </w:rPr>
              <w:t>:</w:t>
            </w:r>
          </w:p>
          <w:p w:rsidR="00E5182F" w:rsidRDefault="00E5182F">
            <w:pPr>
              <w:spacing w:after="0"/>
            </w:pPr>
          </w:p>
          <w:p w:rsidR="00E5182F" w:rsidRDefault="00E5182F">
            <w:pPr>
              <w:spacing w:after="0"/>
            </w:pPr>
            <w:r>
              <w:t xml:space="preserve">- </w:t>
            </w:r>
            <w:proofErr w:type="spellStart"/>
            <w:r>
              <w:t>SuS</w:t>
            </w:r>
            <w:proofErr w:type="spellEnd"/>
            <w:r>
              <w:t xml:space="preserve"> leiten Rettungsmaßnahmen ein</w:t>
            </w:r>
          </w:p>
          <w:p w:rsidR="00E5182F" w:rsidRDefault="00E5182F">
            <w:pPr>
              <w:spacing w:after="0"/>
            </w:pPr>
            <w:r>
              <w:rPr>
                <w:rFonts w:eastAsia="Arial"/>
              </w:rPr>
              <w:t xml:space="preserve">- </w:t>
            </w:r>
            <w:proofErr w:type="spellStart"/>
            <w:r>
              <w:rPr>
                <w:rFonts w:eastAsia="Arial"/>
              </w:rPr>
              <w:t>SuS</w:t>
            </w:r>
            <w:proofErr w:type="spellEnd"/>
            <w:r>
              <w:rPr>
                <w:rFonts w:eastAsia="Arial"/>
              </w:rPr>
              <w:t xml:space="preserve"> kontrollieren und beurteilen das Sicherheitskonzept</w:t>
            </w:r>
          </w:p>
          <w:p w:rsidR="00E5182F" w:rsidRDefault="00E5182F">
            <w:pPr>
              <w:spacing w:after="0"/>
            </w:pPr>
            <w:r>
              <w:rPr>
                <w:rFonts w:eastAsia="Arial"/>
              </w:rPr>
              <w:t xml:space="preserve">- </w:t>
            </w:r>
            <w:proofErr w:type="spellStart"/>
            <w:r>
              <w:rPr>
                <w:rFonts w:eastAsia="Arial"/>
              </w:rPr>
              <w:t>SuS</w:t>
            </w:r>
            <w:proofErr w:type="spellEnd"/>
            <w:r>
              <w:rPr>
                <w:rFonts w:eastAsia="Arial"/>
              </w:rPr>
              <w:t xml:space="preserve"> schlagen Optimierungsmaßnahmen vor</w:t>
            </w:r>
          </w:p>
          <w:p w:rsidR="00E5182F" w:rsidRDefault="00E5182F"/>
        </w:tc>
      </w:tr>
      <w:tr w:rsidR="00E5182F">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pPr>
              <w:spacing w:after="0"/>
            </w:pPr>
            <w:r>
              <w:rPr>
                <w:b/>
              </w:rPr>
              <w:t>Berufliche Handlungskompetenz</w:t>
            </w:r>
            <w:r>
              <w:rPr>
                <w:b/>
                <w:vertAlign w:val="superscript"/>
              </w:rPr>
              <w:t>6</w:t>
            </w:r>
            <w:r>
              <w:rPr>
                <w:b/>
              </w:rPr>
              <w:t xml:space="preserve"> als </w:t>
            </w:r>
          </w:p>
          <w:p w:rsidR="00E5182F" w:rsidRDefault="00E5182F">
            <w:pPr>
              <w:spacing w:after="0"/>
            </w:pPr>
            <w:r>
              <w:rPr>
                <w:b/>
              </w:rPr>
              <w:t>vollständige Handlung</w:t>
            </w:r>
            <w:r>
              <w:rPr>
                <w:b/>
                <w:vertAlign w:val="superscript"/>
              </w:rPr>
              <w:t>7</w:t>
            </w:r>
          </w:p>
          <w:p w:rsidR="00E5182F" w:rsidRDefault="00E5182F">
            <w:pPr>
              <w:spacing w:after="0"/>
            </w:pPr>
            <w:r>
              <w:t>Die Schülerinnen und Schüler</w:t>
            </w:r>
          </w:p>
          <w:p w:rsidR="00E5182F" w:rsidRDefault="00E5182F">
            <w:pPr>
              <w:numPr>
                <w:ilvl w:val="0"/>
                <w:numId w:val="2"/>
              </w:numPr>
              <w:autoSpaceDE w:val="0"/>
              <w:spacing w:after="0" w:line="240" w:lineRule="auto"/>
            </w:pPr>
            <w:r>
              <w:rPr>
                <w:b/>
                <w:bCs/>
                <w:sz w:val="22"/>
                <w:lang w:eastAsia="de-DE"/>
              </w:rPr>
              <w:t>analysieren</w:t>
            </w:r>
            <w:r>
              <w:rPr>
                <w:sz w:val="22"/>
                <w:lang w:eastAsia="de-DE"/>
              </w:rPr>
              <w:t xml:space="preserve"> den Arbeitsauftrag</w:t>
            </w:r>
          </w:p>
          <w:p w:rsidR="00E5182F" w:rsidRDefault="00E5182F">
            <w:pPr>
              <w:numPr>
                <w:ilvl w:val="0"/>
                <w:numId w:val="2"/>
              </w:numPr>
              <w:autoSpaceDE w:val="0"/>
              <w:spacing w:after="0" w:line="240" w:lineRule="auto"/>
            </w:pPr>
            <w:r>
              <w:rPr>
                <w:b/>
                <w:bCs/>
                <w:sz w:val="22"/>
                <w:lang w:eastAsia="de-DE"/>
              </w:rPr>
              <w:t xml:space="preserve">informieren </w:t>
            </w:r>
            <w:r>
              <w:rPr>
                <w:sz w:val="22"/>
                <w:lang w:eastAsia="de-DE"/>
              </w:rPr>
              <w:t>sich über Gefahren und Sicherheitsmaßnahmen</w:t>
            </w:r>
          </w:p>
          <w:p w:rsidR="00E5182F" w:rsidRDefault="00E5182F">
            <w:pPr>
              <w:numPr>
                <w:ilvl w:val="0"/>
                <w:numId w:val="2"/>
              </w:numPr>
              <w:autoSpaceDE w:val="0"/>
              <w:spacing w:after="0" w:line="240" w:lineRule="auto"/>
            </w:pPr>
            <w:r>
              <w:rPr>
                <w:sz w:val="22"/>
                <w:lang w:eastAsia="de-DE"/>
              </w:rPr>
              <w:t>ermitteln die Grenzwerte für Gasgemische und Stäube</w:t>
            </w:r>
          </w:p>
          <w:p w:rsidR="00E5182F" w:rsidRDefault="00E5182F">
            <w:pPr>
              <w:numPr>
                <w:ilvl w:val="0"/>
                <w:numId w:val="2"/>
              </w:numPr>
              <w:autoSpaceDE w:val="0"/>
              <w:spacing w:after="0" w:line="240" w:lineRule="auto"/>
            </w:pPr>
            <w:r>
              <w:rPr>
                <w:b/>
                <w:bCs/>
                <w:sz w:val="22"/>
                <w:lang w:eastAsia="de-DE"/>
              </w:rPr>
              <w:t xml:space="preserve">planen </w:t>
            </w:r>
            <w:r>
              <w:rPr>
                <w:sz w:val="22"/>
                <w:lang w:eastAsia="de-DE"/>
              </w:rPr>
              <w:t xml:space="preserve">den Einstieg unter Beachtung der Rechtsvorschriften und beachten dabei die örtlichen Gegebenheiten. </w:t>
            </w:r>
          </w:p>
          <w:p w:rsidR="00E5182F" w:rsidRDefault="00E5182F">
            <w:pPr>
              <w:numPr>
                <w:ilvl w:val="0"/>
                <w:numId w:val="2"/>
              </w:numPr>
              <w:autoSpaceDE w:val="0"/>
              <w:spacing w:after="0" w:line="240" w:lineRule="auto"/>
            </w:pPr>
            <w:r>
              <w:rPr>
                <w:b/>
                <w:bCs/>
                <w:sz w:val="22"/>
                <w:lang w:eastAsia="de-DE"/>
              </w:rPr>
              <w:t xml:space="preserve">bereiten </w:t>
            </w:r>
            <w:r>
              <w:rPr>
                <w:sz w:val="22"/>
                <w:lang w:eastAsia="de-DE"/>
              </w:rPr>
              <w:t xml:space="preserve">den Einstieg vor und sichern das Arbeitsumfeld entsprechend vor </w:t>
            </w:r>
          </w:p>
          <w:p w:rsidR="00E5182F" w:rsidRDefault="00E5182F">
            <w:pPr>
              <w:numPr>
                <w:ilvl w:val="0"/>
                <w:numId w:val="2"/>
              </w:numPr>
              <w:autoSpaceDE w:val="0"/>
              <w:spacing w:after="0" w:line="240" w:lineRule="auto"/>
            </w:pPr>
            <w:r>
              <w:rPr>
                <w:sz w:val="22"/>
                <w:lang w:eastAsia="de-DE"/>
              </w:rPr>
              <w:t>steigen unter Beachtung des</w:t>
            </w:r>
          </w:p>
          <w:p w:rsidR="00E5182F" w:rsidRDefault="00E5182F">
            <w:pPr>
              <w:autoSpaceDE w:val="0"/>
              <w:spacing w:after="0" w:line="240" w:lineRule="auto"/>
            </w:pPr>
            <w:r>
              <w:rPr>
                <w:rFonts w:eastAsia="Arial"/>
                <w:sz w:val="22"/>
                <w:lang w:eastAsia="de-DE"/>
              </w:rPr>
              <w:t xml:space="preserve">           </w:t>
            </w:r>
            <w:r>
              <w:rPr>
                <w:sz w:val="22"/>
                <w:lang w:eastAsia="de-DE"/>
              </w:rPr>
              <w:t xml:space="preserve">Sicherheitskonzepts ein. </w:t>
            </w:r>
          </w:p>
          <w:p w:rsidR="00E5182F" w:rsidRDefault="00E5182F">
            <w:pPr>
              <w:numPr>
                <w:ilvl w:val="0"/>
                <w:numId w:val="2"/>
              </w:numPr>
              <w:autoSpaceDE w:val="0"/>
              <w:spacing w:after="0" w:line="240" w:lineRule="auto"/>
            </w:pPr>
            <w:r>
              <w:rPr>
                <w:sz w:val="22"/>
                <w:lang w:eastAsia="de-DE"/>
              </w:rPr>
              <w:t xml:space="preserve">kommunizieren präzise mit dem eingerichteten Sicherheitsposten. </w:t>
            </w:r>
          </w:p>
          <w:p w:rsidR="00E5182F" w:rsidRDefault="00E5182F">
            <w:pPr>
              <w:numPr>
                <w:ilvl w:val="0"/>
                <w:numId w:val="2"/>
              </w:numPr>
              <w:autoSpaceDE w:val="0"/>
              <w:spacing w:after="0" w:line="240" w:lineRule="auto"/>
            </w:pPr>
            <w:r>
              <w:rPr>
                <w:b/>
                <w:bCs/>
                <w:sz w:val="22"/>
                <w:lang w:eastAsia="de-DE"/>
              </w:rPr>
              <w:t xml:space="preserve">beurteilen </w:t>
            </w:r>
            <w:r>
              <w:rPr>
                <w:sz w:val="22"/>
                <w:lang w:eastAsia="de-DE"/>
              </w:rPr>
              <w:t>und dokumentieren auch mit digitalen Medien die Umsetzung des Sicherheitskonzeptes sowie die Einhaltung der Grenzwerte unter Beachtung</w:t>
            </w:r>
          </w:p>
          <w:p w:rsidR="00E5182F" w:rsidRDefault="00E5182F">
            <w:pPr>
              <w:numPr>
                <w:ilvl w:val="0"/>
                <w:numId w:val="2"/>
              </w:numPr>
              <w:autoSpaceDE w:val="0"/>
              <w:spacing w:after="0" w:line="240" w:lineRule="auto"/>
            </w:pPr>
            <w:r>
              <w:rPr>
                <w:b/>
                <w:bCs/>
                <w:sz w:val="22"/>
                <w:lang w:eastAsia="de-DE"/>
              </w:rPr>
              <w:t xml:space="preserve">reflektieren </w:t>
            </w:r>
            <w:r>
              <w:rPr>
                <w:sz w:val="22"/>
                <w:lang w:eastAsia="de-DE"/>
              </w:rPr>
              <w:t xml:space="preserve">das durchgeführte Sicherheitskonzept und prüfen </w:t>
            </w:r>
          </w:p>
          <w:p w:rsidR="00E5182F" w:rsidRDefault="00E5182F">
            <w:pPr>
              <w:autoSpaceDE w:val="0"/>
              <w:spacing w:after="0" w:line="240" w:lineRule="auto"/>
            </w:pPr>
            <w:r>
              <w:rPr>
                <w:rFonts w:eastAsia="Arial"/>
                <w:sz w:val="22"/>
                <w:lang w:eastAsia="de-DE"/>
              </w:rPr>
              <w:t xml:space="preserve">            </w:t>
            </w:r>
            <w:r>
              <w:rPr>
                <w:sz w:val="22"/>
                <w:lang w:eastAsia="de-DE"/>
              </w:rPr>
              <w:t xml:space="preserve">auf Optimierung </w:t>
            </w:r>
            <w:r>
              <w:t xml:space="preserve"> </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Konkretisierung der Inhalte</w:t>
            </w:r>
            <w:r>
              <w:rPr>
                <w:b/>
                <w:vertAlign w:val="superscript"/>
              </w:rPr>
              <w:t>8</w:t>
            </w:r>
            <w:r>
              <w:rPr>
                <w:b/>
              </w:rPr>
              <w:t xml:space="preserve">: </w:t>
            </w:r>
          </w:p>
          <w:p w:rsidR="00E5182F" w:rsidRDefault="00E5182F">
            <w:r>
              <w:rPr>
                <w:bCs/>
              </w:rPr>
              <w:t>- Abtrennen von Behältern</w:t>
            </w:r>
          </w:p>
          <w:p w:rsidR="00E5182F" w:rsidRDefault="00E5182F">
            <w:r>
              <w:rPr>
                <w:bCs/>
              </w:rPr>
              <w:t>- Freimessen, Gaswarngerät / Gasmessungen</w:t>
            </w:r>
          </w:p>
          <w:p w:rsidR="00E5182F" w:rsidRDefault="00E5182F">
            <w:r>
              <w:rPr>
                <w:bCs/>
              </w:rPr>
              <w:t>- Zwangsbelüftung / Absaugen</w:t>
            </w:r>
          </w:p>
          <w:p w:rsidR="00E5182F" w:rsidRDefault="00E5182F">
            <w:r>
              <w:rPr>
                <w:bCs/>
              </w:rPr>
              <w:t>- Abmaße von Mannlöchern</w:t>
            </w:r>
          </w:p>
          <w:p w:rsidR="00E5182F" w:rsidRDefault="00E5182F">
            <w:r>
              <w:rPr>
                <w:bCs/>
              </w:rPr>
              <w:t>- PSA (Atemschutz)</w:t>
            </w:r>
          </w:p>
          <w:p w:rsidR="00E5182F" w:rsidRDefault="00E5182F">
            <w:r>
              <w:rPr>
                <w:bCs/>
              </w:rPr>
              <w:t>- Selbstretter</w:t>
            </w:r>
          </w:p>
          <w:p w:rsidR="00E5182F" w:rsidRDefault="00E5182F">
            <w:r>
              <w:rPr>
                <w:bCs/>
              </w:rPr>
              <w:t>- Sicherheitskonzept (Absperren, Sicherheitsposten)</w:t>
            </w:r>
          </w:p>
          <w:p w:rsidR="00E5182F" w:rsidRDefault="00E5182F">
            <w:r>
              <w:rPr>
                <w:bCs/>
              </w:rPr>
              <w:t>- Rettungsmaßnahmen (Selbst- &amp; Fremdschutz)</w:t>
            </w:r>
          </w:p>
          <w:p w:rsidR="00E5182F" w:rsidRDefault="00E5182F">
            <w:pPr>
              <w:rPr>
                <w:bCs/>
              </w:rPr>
            </w:pPr>
          </w:p>
          <w:p w:rsidR="00E5182F" w:rsidRDefault="00E5182F">
            <w:pPr>
              <w:rPr>
                <w:bCs/>
              </w:rPr>
            </w:pPr>
          </w:p>
          <w:p w:rsidR="00E5182F" w:rsidRDefault="00E5182F">
            <w:pPr>
              <w:rPr>
                <w:b/>
                <w:bCs/>
              </w:rPr>
            </w:pPr>
          </w:p>
          <w:p w:rsidR="00E5182F" w:rsidRDefault="00E5182F">
            <w:pPr>
              <w:rPr>
                <w:b/>
              </w:rPr>
            </w:pPr>
          </w:p>
        </w:tc>
      </w:tr>
      <w:tr w:rsidR="00E5182F">
        <w:tc>
          <w:tcPr>
            <w:tcW w:w="9222" w:type="dxa"/>
            <w:gridSpan w:val="2"/>
            <w:tcBorders>
              <w:top w:val="single" w:sz="4" w:space="0" w:color="000000"/>
              <w:left w:val="single" w:sz="4" w:space="0" w:color="000000"/>
              <w:bottom w:val="single" w:sz="4" w:space="0" w:color="000000"/>
              <w:right w:val="single" w:sz="4" w:space="0" w:color="000000"/>
            </w:tcBorders>
            <w:shd w:val="clear" w:color="auto" w:fill="auto"/>
          </w:tcPr>
          <w:p w:rsidR="00E5182F" w:rsidRDefault="00E5182F">
            <w:r>
              <w:rPr>
                <w:b/>
              </w:rPr>
              <w:t>Didaktisch-methodische Anregungen</w:t>
            </w:r>
            <w:r>
              <w:rPr>
                <w:b/>
                <w:vertAlign w:val="superscript"/>
              </w:rPr>
              <w:t>9</w:t>
            </w:r>
            <w:r>
              <w:rPr>
                <w:b/>
              </w:rPr>
              <w:t>:</w:t>
            </w:r>
          </w:p>
          <w:p w:rsidR="00E5182F" w:rsidRDefault="00E5182F">
            <w:pPr>
              <w:numPr>
                <w:ilvl w:val="0"/>
                <w:numId w:val="2"/>
              </w:numPr>
              <w:autoSpaceDE w:val="0"/>
              <w:spacing w:after="0" w:line="240" w:lineRule="auto"/>
            </w:pPr>
            <w:proofErr w:type="spellStart"/>
            <w:r>
              <w:rPr>
                <w:sz w:val="22"/>
                <w:lang w:val="en-US" w:eastAsia="de-DE"/>
              </w:rPr>
              <w:t>kooperative</w:t>
            </w:r>
            <w:proofErr w:type="spellEnd"/>
            <w:r>
              <w:rPr>
                <w:sz w:val="22"/>
                <w:lang w:val="en-US" w:eastAsia="de-DE"/>
              </w:rPr>
              <w:t xml:space="preserve"> </w:t>
            </w:r>
            <w:proofErr w:type="spellStart"/>
            <w:r>
              <w:rPr>
                <w:sz w:val="22"/>
                <w:lang w:val="en-US" w:eastAsia="de-DE"/>
              </w:rPr>
              <w:t>Lernmethoden</w:t>
            </w:r>
            <w:proofErr w:type="spellEnd"/>
            <w:r>
              <w:rPr>
                <w:sz w:val="22"/>
                <w:lang w:val="en-US" w:eastAsia="de-DE"/>
              </w:rPr>
              <w:t xml:space="preserve"> (</w:t>
            </w:r>
            <w:proofErr w:type="spellStart"/>
            <w:r>
              <w:rPr>
                <w:sz w:val="22"/>
                <w:lang w:val="en-US" w:eastAsia="de-DE"/>
              </w:rPr>
              <w:t>Gruppenpuzzle</w:t>
            </w:r>
            <w:proofErr w:type="spellEnd"/>
            <w:r>
              <w:rPr>
                <w:sz w:val="22"/>
                <w:lang w:val="en-US" w:eastAsia="de-DE"/>
              </w:rPr>
              <w:t xml:space="preserve">, </w:t>
            </w:r>
            <w:proofErr w:type="spellStart"/>
            <w:r>
              <w:rPr>
                <w:sz w:val="22"/>
                <w:lang w:val="en-US" w:eastAsia="de-DE"/>
              </w:rPr>
              <w:t>Lerntempoduett</w:t>
            </w:r>
            <w:proofErr w:type="spellEnd"/>
            <w:r>
              <w:rPr>
                <w:sz w:val="22"/>
                <w:lang w:val="en-US" w:eastAsia="de-DE"/>
              </w:rPr>
              <w:t>, Think-Pair-Share)</w:t>
            </w:r>
          </w:p>
          <w:p w:rsidR="00E5182F" w:rsidRDefault="00E5182F">
            <w:pPr>
              <w:numPr>
                <w:ilvl w:val="0"/>
                <w:numId w:val="2"/>
              </w:numPr>
              <w:autoSpaceDE w:val="0"/>
              <w:spacing w:after="0" w:line="240" w:lineRule="auto"/>
            </w:pPr>
            <w:r>
              <w:rPr>
                <w:sz w:val="22"/>
                <w:lang w:eastAsia="de-DE"/>
              </w:rPr>
              <w:t>selbstorganisiertes Lernen (</w:t>
            </w:r>
            <w:proofErr w:type="spellStart"/>
            <w:r>
              <w:rPr>
                <w:sz w:val="22"/>
                <w:lang w:eastAsia="de-DE"/>
              </w:rPr>
              <w:t>Advanced</w:t>
            </w:r>
            <w:proofErr w:type="spellEnd"/>
            <w:r>
              <w:rPr>
                <w:sz w:val="22"/>
                <w:lang w:eastAsia="de-DE"/>
              </w:rPr>
              <w:t xml:space="preserve"> Organizer) </w:t>
            </w:r>
          </w:p>
          <w:p w:rsidR="00E5182F" w:rsidRDefault="00E5182F">
            <w:pPr>
              <w:numPr>
                <w:ilvl w:val="0"/>
                <w:numId w:val="2"/>
              </w:numPr>
              <w:autoSpaceDE w:val="0"/>
              <w:spacing w:after="0" w:line="240" w:lineRule="auto"/>
            </w:pPr>
            <w:r>
              <w:rPr>
                <w:sz w:val="22"/>
                <w:lang w:eastAsia="de-DE"/>
              </w:rPr>
              <w:t xml:space="preserve">Reflexion </w:t>
            </w:r>
            <w:bookmarkStart w:id="0" w:name="_GoBack"/>
            <w:bookmarkEnd w:id="0"/>
            <w:r w:rsidR="00DC2484">
              <w:rPr>
                <w:sz w:val="22"/>
                <w:lang w:eastAsia="de-DE"/>
              </w:rPr>
              <w:t>des Arbeitsprozesses</w:t>
            </w:r>
          </w:p>
          <w:p w:rsidR="00E5182F" w:rsidRDefault="00E5182F">
            <w:pPr>
              <w:numPr>
                <w:ilvl w:val="0"/>
                <w:numId w:val="2"/>
              </w:numPr>
              <w:autoSpaceDE w:val="0"/>
              <w:spacing w:after="0" w:line="240" w:lineRule="auto"/>
            </w:pPr>
            <w:r>
              <w:rPr>
                <w:bCs/>
              </w:rPr>
              <w:t>Arbeitsteilige Gruppenarbeit</w:t>
            </w:r>
          </w:p>
        </w:tc>
      </w:tr>
    </w:tbl>
    <w:p w:rsidR="00E5182F" w:rsidRDefault="00E5182F">
      <w:pPr>
        <w:rPr>
          <w:b/>
        </w:rPr>
      </w:pPr>
    </w:p>
    <w:sectPr w:rsidR="00E5182F">
      <w:pgSz w:w="11906" w:h="16838"/>
      <w:pgMar w:top="709"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5"/>
      <w:numFmt w:val="bullet"/>
      <w:lvlText w:val="-"/>
      <w:lvlJc w:val="left"/>
      <w:pPr>
        <w:tabs>
          <w:tab w:val="num" w:pos="0"/>
        </w:tabs>
        <w:ind w:left="720" w:hanging="360"/>
      </w:pPr>
      <w:rPr>
        <w:rFonts w:ascii="Arial" w:hAnsi="Arial" w:cs="Arial" w:hint="default"/>
        <w:sz w:val="22"/>
        <w:lang w:eastAsia="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6"/>
    <w:rsid w:val="004805A6"/>
    <w:rsid w:val="00DC2484"/>
    <w:rsid w:val="00E51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4807E5E"/>
  <w15:chartTrackingRefBased/>
  <w15:docId w15:val="{B8E273EE-F618-41F1-93DB-2056443D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after="200" w:line="276" w:lineRule="auto"/>
    </w:pPr>
    <w:rPr>
      <w:rFonts w:ascii="Arial" w:eastAsia="Calibri" w:hAnsi="Arial" w:cs="Arial"/>
      <w:sz w:val="24"/>
      <w:szCs w:val="22"/>
      <w:lang w:eastAsia="zh-CN"/>
    </w:rPr>
  </w:style>
  <w:style w:type="paragraph" w:styleId="berschrift1">
    <w:name w:val="heading 1"/>
    <w:basedOn w:val="Standard"/>
    <w:next w:val="Standard"/>
    <w:qFormat/>
    <w:pPr>
      <w:keepNext/>
      <w:keepLines/>
      <w:numPr>
        <w:numId w:val="1"/>
      </w:numPr>
      <w:spacing w:before="480" w:after="0"/>
      <w:outlineLvl w:val="0"/>
    </w:pPr>
    <w:rPr>
      <w:rFonts w:eastAsia="Times New Roman" w:cs="Times New Roman"/>
      <w:b/>
      <w:bCs/>
      <w:sz w:val="28"/>
      <w:szCs w:val="28"/>
    </w:rPr>
  </w:style>
  <w:style w:type="paragraph" w:styleId="berschrift2">
    <w:name w:val="heading 2"/>
    <w:basedOn w:val="Standard"/>
    <w:next w:val="Standard"/>
    <w:qFormat/>
    <w:pPr>
      <w:keepNext/>
      <w:keepLines/>
      <w:numPr>
        <w:ilvl w:val="1"/>
        <w:numId w:val="1"/>
      </w:numPr>
      <w:spacing w:before="200" w:after="0"/>
      <w:outlineLvl w:val="1"/>
    </w:pPr>
    <w:rPr>
      <w:rFonts w:eastAsia="Times New Roman" w:cs="Times New Roman"/>
      <w:b/>
      <w:bCs/>
      <w:color w:val="000000"/>
      <w:sz w:val="26"/>
      <w:szCs w:val="26"/>
    </w:rPr>
  </w:style>
  <w:style w:type="paragraph" w:styleId="berschrift3">
    <w:name w:val="heading 3"/>
    <w:basedOn w:val="Standard"/>
    <w:next w:val="Standard"/>
    <w:qFormat/>
    <w:pPr>
      <w:keepNext/>
      <w:keepLines/>
      <w:numPr>
        <w:ilvl w:val="2"/>
        <w:numId w:val="1"/>
      </w:numPr>
      <w:spacing w:before="200" w:after="0"/>
      <w:outlineLvl w:val="2"/>
    </w:pPr>
    <w:rPr>
      <w:rFonts w:eastAsia="Times New Roman" w:cs="Times New Roman"/>
      <w:b/>
      <w:bCs/>
      <w:color w:val="000000"/>
    </w:rPr>
  </w:style>
  <w:style w:type="paragraph" w:styleId="berschrift4">
    <w:name w:val="heading 4"/>
    <w:basedOn w:val="Standard"/>
    <w:next w:val="Standard"/>
    <w:qFormat/>
    <w:pPr>
      <w:keepNext/>
      <w:keepLines/>
      <w:numPr>
        <w:ilvl w:val="3"/>
        <w:numId w:val="1"/>
      </w:numPr>
      <w:spacing w:before="200" w:after="0"/>
      <w:outlineLvl w:val="3"/>
    </w:pPr>
    <w:rPr>
      <w:rFonts w:eastAsia="Times New Roman" w:cs="Times New Roman"/>
      <w:b/>
      <w:bCs/>
      <w:i/>
      <w:iCs/>
      <w:color w:val="000000"/>
    </w:rPr>
  </w:style>
  <w:style w:type="paragraph" w:styleId="berschrift5">
    <w:name w:val="heading 5"/>
    <w:basedOn w:val="Standard"/>
    <w:next w:val="Standard"/>
    <w:qFormat/>
    <w:pPr>
      <w:keepNext/>
      <w:keepLines/>
      <w:numPr>
        <w:ilvl w:val="4"/>
        <w:numId w:val="1"/>
      </w:numPr>
      <w:spacing w:before="200" w:after="0"/>
      <w:outlineLvl w:val="4"/>
    </w:pPr>
    <w:rPr>
      <w:rFonts w:eastAsia="Times New Roman" w:cs="Times New Roman"/>
      <w:color w:val="000000"/>
    </w:rPr>
  </w:style>
  <w:style w:type="paragraph" w:styleId="berschrift6">
    <w:name w:val="heading 6"/>
    <w:basedOn w:val="Standard"/>
    <w:next w:val="Standard"/>
    <w:qFormat/>
    <w:pPr>
      <w:keepNext/>
      <w:keepLines/>
      <w:numPr>
        <w:ilvl w:val="5"/>
        <w:numId w:val="1"/>
      </w:numPr>
      <w:spacing w:before="200" w:after="0"/>
      <w:outlineLvl w:val="5"/>
    </w:pPr>
    <w:rPr>
      <w:rFonts w:eastAsia="Times New Roman" w:cs="Times New Roman"/>
      <w:i/>
      <w:iCs/>
    </w:rPr>
  </w:style>
  <w:style w:type="paragraph" w:styleId="berschrift7">
    <w:name w:val="heading 7"/>
    <w:basedOn w:val="Standard"/>
    <w:next w:val="Standard"/>
    <w:qFormat/>
    <w:pPr>
      <w:keepNext/>
      <w:keepLines/>
      <w:numPr>
        <w:ilvl w:val="6"/>
        <w:numId w:val="1"/>
      </w:numPr>
      <w:spacing w:before="200" w:after="0"/>
      <w:outlineLvl w:val="6"/>
    </w:pPr>
    <w:rPr>
      <w:rFonts w:eastAsia="Times New Roman" w:cs="Times New Roman"/>
      <w:i/>
      <w:iCs/>
      <w:color w:val="404040"/>
    </w:rPr>
  </w:style>
  <w:style w:type="paragraph" w:styleId="berschrift8">
    <w:name w:val="heading 8"/>
    <w:basedOn w:val="Standard"/>
    <w:next w:val="Standard"/>
    <w:qFormat/>
    <w:pPr>
      <w:keepNext/>
      <w:keepLines/>
      <w:numPr>
        <w:ilvl w:val="7"/>
        <w:numId w:val="1"/>
      </w:numPr>
      <w:spacing w:before="200" w:after="0"/>
      <w:outlineLvl w:val="7"/>
    </w:pPr>
    <w:rPr>
      <w:rFonts w:eastAsia="Times New Roman" w:cs="Times New Roman"/>
      <w:color w:val="404040"/>
      <w:sz w:val="20"/>
      <w:szCs w:val="20"/>
    </w:rPr>
  </w:style>
  <w:style w:type="paragraph" w:styleId="berschrift9">
    <w:name w:val="heading 9"/>
    <w:basedOn w:val="Standard"/>
    <w:next w:val="Standard"/>
    <w:qFormat/>
    <w:pPr>
      <w:keepNext/>
      <w:keepLines/>
      <w:numPr>
        <w:ilvl w:val="8"/>
        <w:numId w:val="1"/>
      </w:numPr>
      <w:spacing w:before="200" w:after="0"/>
      <w:outlineLvl w:val="8"/>
    </w:pPr>
    <w:rPr>
      <w:rFonts w:eastAsia="Times New Roman"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eastAsia="Calibri" w:hAnsi="Arial" w:cs="Aria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Arial" w:eastAsia="Calibri" w:hAnsi="Arial" w:cs="Arial" w:hint="default"/>
      <w:sz w:val="22"/>
      <w:lang w:eastAsia="de-DE"/>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Absatz-Standardschriftart1">
    <w:name w:val="Absatz-Standardschriftart1"/>
  </w:style>
  <w:style w:type="character" w:customStyle="1" w:styleId="berschrift1Zchn">
    <w:name w:val="Überschrift 1 Zchn"/>
    <w:rPr>
      <w:rFonts w:ascii="Arial" w:eastAsia="Times New Roman" w:hAnsi="Arial" w:cs="Times New Roman"/>
      <w:b/>
      <w:bCs/>
      <w:sz w:val="28"/>
      <w:szCs w:val="28"/>
    </w:rPr>
  </w:style>
  <w:style w:type="character" w:customStyle="1" w:styleId="berschrift2Zchn">
    <w:name w:val="Überschrift 2 Zchn"/>
    <w:rPr>
      <w:rFonts w:ascii="Arial" w:eastAsia="Times New Roman" w:hAnsi="Arial" w:cs="Times New Roman"/>
      <w:b/>
      <w:bCs/>
      <w:color w:val="000000"/>
      <w:sz w:val="26"/>
      <w:szCs w:val="26"/>
    </w:rPr>
  </w:style>
  <w:style w:type="character" w:customStyle="1" w:styleId="berschrift3Zchn">
    <w:name w:val="Überschrift 3 Zchn"/>
    <w:rPr>
      <w:rFonts w:ascii="Arial" w:eastAsia="Times New Roman" w:hAnsi="Arial" w:cs="Times New Roman"/>
      <w:b/>
      <w:bCs/>
      <w:color w:val="000000"/>
      <w:sz w:val="24"/>
    </w:rPr>
  </w:style>
  <w:style w:type="character" w:customStyle="1" w:styleId="berschrift4Zchn">
    <w:name w:val="Überschrift 4 Zchn"/>
    <w:rPr>
      <w:rFonts w:ascii="Arial" w:eastAsia="Times New Roman" w:hAnsi="Arial" w:cs="Times New Roman"/>
      <w:b/>
      <w:bCs/>
      <w:i/>
      <w:iCs/>
      <w:color w:val="000000"/>
      <w:sz w:val="24"/>
    </w:rPr>
  </w:style>
  <w:style w:type="character" w:customStyle="1" w:styleId="berschrift5Zchn">
    <w:name w:val="Überschrift 5 Zchn"/>
    <w:rPr>
      <w:rFonts w:ascii="Arial" w:eastAsia="Times New Roman" w:hAnsi="Arial" w:cs="Times New Roman"/>
      <w:color w:val="000000"/>
      <w:sz w:val="24"/>
    </w:rPr>
  </w:style>
  <w:style w:type="character" w:customStyle="1" w:styleId="berschrift6Zchn">
    <w:name w:val="Überschrift 6 Zchn"/>
    <w:rPr>
      <w:rFonts w:ascii="Arial" w:eastAsia="Times New Roman" w:hAnsi="Arial" w:cs="Times New Roman"/>
      <w:i/>
      <w:iCs/>
      <w:sz w:val="24"/>
    </w:rPr>
  </w:style>
  <w:style w:type="character" w:customStyle="1" w:styleId="berschrift7Zchn">
    <w:name w:val="Überschrift 7 Zchn"/>
    <w:rPr>
      <w:rFonts w:ascii="Arial" w:eastAsia="Times New Roman" w:hAnsi="Arial" w:cs="Times New Roman"/>
      <w:i/>
      <w:iCs/>
      <w:color w:val="404040"/>
      <w:sz w:val="24"/>
    </w:rPr>
  </w:style>
  <w:style w:type="character" w:customStyle="1" w:styleId="berschrift8Zchn">
    <w:name w:val="Überschrift 8 Zchn"/>
    <w:rPr>
      <w:rFonts w:ascii="Arial" w:eastAsia="Times New Roman" w:hAnsi="Arial" w:cs="Times New Roman"/>
      <w:color w:val="404040"/>
      <w:sz w:val="20"/>
      <w:szCs w:val="20"/>
    </w:rPr>
  </w:style>
  <w:style w:type="character" w:customStyle="1" w:styleId="berschrift9Zchn">
    <w:name w:val="Überschrift 9 Zchn"/>
    <w:rPr>
      <w:rFonts w:ascii="Arial" w:eastAsia="Times New Roman" w:hAnsi="Arial" w:cs="Times New Roman"/>
      <w:i/>
      <w:iCs/>
      <w:color w:val="404040"/>
      <w:sz w:val="20"/>
      <w:szCs w:val="20"/>
    </w:rPr>
  </w:style>
  <w:style w:type="character" w:customStyle="1" w:styleId="TitelZchn">
    <w:name w:val="Titel Zchn"/>
    <w:rPr>
      <w:rFonts w:ascii="Arial" w:eastAsia="Times New Roman" w:hAnsi="Arial" w:cs="Times New Roman"/>
      <w:color w:val="000000"/>
      <w:spacing w:val="5"/>
      <w:sz w:val="52"/>
      <w:szCs w:val="52"/>
    </w:rPr>
  </w:style>
  <w:style w:type="character" w:customStyle="1" w:styleId="UntertitelZchn">
    <w:name w:val="Untertitel Zchn"/>
    <w:rPr>
      <w:rFonts w:ascii="Arial" w:eastAsia="Times New Roman" w:hAnsi="Arial" w:cs="Times New Roman"/>
      <w:i/>
      <w:iCs/>
      <w:color w:val="000000"/>
      <w:spacing w:val="15"/>
      <w:sz w:val="24"/>
      <w:szCs w:val="24"/>
    </w:rPr>
  </w:style>
  <w:style w:type="character" w:styleId="SchwacheHervorhebung">
    <w:name w:val="Subtle Emphasis"/>
    <w:qFormat/>
    <w:rPr>
      <w:rFonts w:ascii="Arial" w:hAnsi="Arial" w:cs="Arial"/>
      <w:i/>
      <w:iCs/>
      <w:color w:val="000000"/>
    </w:rPr>
  </w:style>
  <w:style w:type="character" w:styleId="Hervorhebung">
    <w:name w:val="Emphasis"/>
    <w:qFormat/>
    <w:rPr>
      <w:rFonts w:ascii="Arial" w:hAnsi="Arial" w:cs="Arial"/>
      <w:i/>
      <w:iCs/>
      <w:color w:val="000000"/>
    </w:rPr>
  </w:style>
  <w:style w:type="character" w:styleId="IntensiveHervorhebung">
    <w:name w:val="Intense Emphasis"/>
    <w:qFormat/>
    <w:rPr>
      <w:rFonts w:ascii="Arial" w:hAnsi="Arial" w:cs="Arial"/>
      <w:b/>
      <w:bCs/>
      <w:i/>
      <w:iCs/>
      <w:color w:val="000000"/>
    </w:rPr>
  </w:style>
  <w:style w:type="character" w:styleId="Fett">
    <w:name w:val="Strong"/>
    <w:qFormat/>
    <w:rPr>
      <w:rFonts w:ascii="Arial" w:hAnsi="Arial" w:cs="Arial"/>
      <w:b/>
      <w:bCs/>
      <w:color w:val="000000"/>
    </w:rPr>
  </w:style>
  <w:style w:type="character" w:customStyle="1" w:styleId="ZitatZchn">
    <w:name w:val="Zitat Zchn"/>
    <w:rPr>
      <w:rFonts w:ascii="Arial" w:hAnsi="Arial" w:cs="Arial"/>
      <w:i/>
      <w:iCs/>
      <w:color w:val="000000"/>
      <w:sz w:val="24"/>
    </w:rPr>
  </w:style>
  <w:style w:type="character" w:customStyle="1" w:styleId="IntensivesZitatZchn">
    <w:name w:val="Intensives Zitat Zchn"/>
    <w:rPr>
      <w:rFonts w:ascii="Arial" w:hAnsi="Arial" w:cs="Arial"/>
      <w:b/>
      <w:bCs/>
      <w:i/>
      <w:iCs/>
      <w:color w:val="000000"/>
      <w:sz w:val="24"/>
    </w:rPr>
  </w:style>
  <w:style w:type="character" w:styleId="SchwacherVerweis">
    <w:name w:val="Subtle Reference"/>
    <w:qFormat/>
    <w:rPr>
      <w:smallCaps/>
      <w:color w:val="C0504D"/>
      <w:u w:val="single"/>
    </w:rPr>
  </w:style>
  <w:style w:type="character" w:styleId="Buchtitel">
    <w:name w:val="Book Title"/>
    <w:qFormat/>
    <w:rPr>
      <w:rFonts w:ascii="Arial" w:hAnsi="Arial" w:cs="Arial"/>
      <w:b/>
      <w:bCs/>
      <w:smallCaps/>
      <w:color w:val="000000"/>
      <w:spacing w:val="5"/>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Standard"/>
    <w:pPr>
      <w:pBdr>
        <w:top w:val="none" w:sz="0" w:space="0" w:color="000000"/>
        <w:left w:val="none" w:sz="0" w:space="0" w:color="000000"/>
        <w:bottom w:val="single" w:sz="4" w:space="1" w:color="000000"/>
        <w:right w:val="none" w:sz="0" w:space="0" w:color="000000"/>
      </w:pBdr>
      <w:spacing w:line="240" w:lineRule="auto"/>
      <w:contextualSpacing/>
    </w:pPr>
    <w:rPr>
      <w:rFonts w:eastAsia="Times New Roman" w:cs="Times New Roman"/>
      <w:color w:val="000000"/>
      <w:spacing w:val="5"/>
      <w:sz w:val="52"/>
      <w:szCs w:val="52"/>
    </w:rPr>
  </w:style>
  <w:style w:type="paragraph" w:styleId="Textkrper">
    <w:name w:val="Body Text"/>
    <w:basedOn w:val="Standard"/>
    <w:pPr>
      <w:spacing w:after="140"/>
    </w:pPr>
  </w:style>
  <w:style w:type="paragraph" w:styleId="Liste">
    <w:name w:val="List"/>
    <w:basedOn w:val="Textkrper"/>
  </w:style>
  <w:style w:type="paragraph" w:styleId="Beschriftung">
    <w:name w:val="caption"/>
    <w:basedOn w:val="Standard"/>
    <w:qFormat/>
    <w:pPr>
      <w:suppressLineNumbers/>
      <w:spacing w:before="120" w:after="120"/>
    </w:pPr>
    <w:rPr>
      <w:i/>
      <w:iCs/>
      <w:szCs w:val="24"/>
    </w:rPr>
  </w:style>
  <w:style w:type="paragraph" w:customStyle="1" w:styleId="Verzeichnis">
    <w:name w:val="Verzeichnis"/>
    <w:basedOn w:val="Standard"/>
    <w:pPr>
      <w:suppressLineNumbers/>
    </w:pPr>
  </w:style>
  <w:style w:type="paragraph" w:styleId="Untertitel">
    <w:name w:val="Subtitle"/>
    <w:basedOn w:val="Standard"/>
    <w:next w:val="Standard"/>
    <w:qFormat/>
    <w:rPr>
      <w:rFonts w:eastAsia="Times New Roman" w:cs="Times New Roman"/>
      <w:i/>
      <w:iCs/>
      <w:color w:val="000000"/>
      <w:spacing w:val="15"/>
      <w:szCs w:val="24"/>
    </w:rPr>
  </w:style>
  <w:style w:type="paragraph" w:styleId="Zitat">
    <w:name w:val="Quote"/>
    <w:basedOn w:val="Standard"/>
    <w:next w:val="Standard"/>
    <w:qFormat/>
    <w:rPr>
      <w:i/>
      <w:iCs/>
      <w:color w:val="000000"/>
    </w:rPr>
  </w:style>
  <w:style w:type="paragraph" w:styleId="IntensivesZitat">
    <w:name w:val="Intense Quote"/>
    <w:basedOn w:val="Standard"/>
    <w:next w:val="Standard"/>
    <w:qFormat/>
    <w:pPr>
      <w:spacing w:before="200" w:after="280"/>
      <w:ind w:left="936" w:right="936"/>
    </w:pPr>
    <w:rPr>
      <w:b/>
      <w:bCs/>
      <w:i/>
      <w:iCs/>
      <w:color w:val="000000"/>
    </w:rPr>
  </w:style>
  <w:style w:type="paragraph" w:customStyle="1" w:styleId="Tabelleninhalt">
    <w:name w:val="Tabelleninhalt"/>
    <w:basedOn w:val="Standard"/>
    <w:pPr>
      <w:widowControl w:val="0"/>
      <w:suppressLineNumbers/>
    </w:pPr>
  </w:style>
  <w:style w:type="paragraph" w:customStyle="1" w:styleId="Tabellenberschrift">
    <w:name w:val="Tabellen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6151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2</cp:revision>
  <cp:lastPrinted>1601-01-01T00:00:00Z</cp:lastPrinted>
  <dcterms:created xsi:type="dcterms:W3CDTF">2024-06-12T09:45:00Z</dcterms:created>
  <dcterms:modified xsi:type="dcterms:W3CDTF">2024-06-12T09:45:00Z</dcterms:modified>
</cp:coreProperties>
</file>