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6A70FA">
        <w:rPr>
          <w:i/>
          <w:sz w:val="20"/>
          <w:szCs w:val="20"/>
        </w:rPr>
        <w:t>Umwelttechnische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rsidR="00EE1BB2" w:rsidRDefault="00EE1BB2">
      <w:pPr>
        <w:rPr>
          <w:b/>
        </w:rPr>
      </w:pPr>
      <w:r w:rsidRPr="00EE1BB2">
        <w:rPr>
          <w:b/>
        </w:rPr>
        <w:t>Länderübergreifende Darstellung von Lernsituationen</w:t>
      </w:r>
    </w:p>
    <w:p w:rsidR="00EE1BB2" w:rsidRPr="00EE1BB2" w:rsidRDefault="00EE1BB2" w:rsidP="00EE1BB2">
      <w:pPr>
        <w:spacing w:after="0"/>
      </w:pPr>
      <w:r w:rsidRPr="00EE1BB2">
        <w:t>Anordnung der Lernsituation im Lernfeld</w:t>
      </w:r>
      <w:r w:rsidR="00D06A73">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695"/>
        <w:gridCol w:w="2696"/>
      </w:tblGrid>
      <w:tr w:rsidR="00EE1BB2" w:rsidRPr="00732FE7" w:rsidTr="00732FE7">
        <w:tc>
          <w:tcPr>
            <w:tcW w:w="675" w:type="dxa"/>
            <w:shd w:val="clear" w:color="auto" w:fill="auto"/>
          </w:tcPr>
          <w:p w:rsidR="00EE1BB2" w:rsidRPr="00732FE7" w:rsidRDefault="00EE1BB2" w:rsidP="00732FE7">
            <w:pPr>
              <w:spacing w:after="0" w:line="240" w:lineRule="auto"/>
              <w:rPr>
                <w:b/>
              </w:rPr>
            </w:pPr>
            <w:r w:rsidRPr="00732FE7">
              <w:rPr>
                <w:b/>
              </w:rPr>
              <w:t>Nr.</w:t>
            </w:r>
          </w:p>
        </w:tc>
        <w:tc>
          <w:tcPr>
            <w:tcW w:w="5812" w:type="dxa"/>
            <w:shd w:val="clear" w:color="auto" w:fill="auto"/>
          </w:tcPr>
          <w:p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00228A" w:rsidRPr="00732FE7" w:rsidTr="00732FE7">
        <w:tc>
          <w:tcPr>
            <w:tcW w:w="675" w:type="dxa"/>
            <w:shd w:val="clear" w:color="auto" w:fill="auto"/>
          </w:tcPr>
          <w:p w:rsidR="0000228A" w:rsidRPr="0000228A" w:rsidRDefault="0000228A" w:rsidP="00732FE7">
            <w:pPr>
              <w:spacing w:after="0" w:line="240" w:lineRule="auto"/>
            </w:pPr>
            <w:r>
              <w:t>1.1</w:t>
            </w:r>
          </w:p>
        </w:tc>
        <w:tc>
          <w:tcPr>
            <w:tcW w:w="5812" w:type="dxa"/>
            <w:shd w:val="clear" w:color="auto" w:fill="auto"/>
          </w:tcPr>
          <w:p w:rsidR="0000228A" w:rsidRPr="0000228A" w:rsidRDefault="0000228A" w:rsidP="00732FE7">
            <w:pPr>
              <w:spacing w:after="0" w:line="240" w:lineRule="auto"/>
            </w:pPr>
            <w:r>
              <w:t>Ökologische Kreisläufe schützen und Belastungen minimieren</w:t>
            </w:r>
          </w:p>
        </w:tc>
        <w:tc>
          <w:tcPr>
            <w:tcW w:w="2725" w:type="dxa"/>
            <w:shd w:val="clear" w:color="auto" w:fill="auto"/>
          </w:tcPr>
          <w:p w:rsidR="0000228A" w:rsidRPr="0000228A" w:rsidRDefault="0000228A" w:rsidP="00732FE7">
            <w:pPr>
              <w:spacing w:after="0" w:line="240" w:lineRule="auto"/>
            </w:pPr>
            <w:r>
              <w:t>60</w:t>
            </w:r>
            <w:bookmarkStart w:id="0" w:name="_GoBack"/>
            <w:bookmarkEnd w:id="0"/>
          </w:p>
        </w:tc>
      </w:tr>
    </w:tbl>
    <w:p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2"/>
      </w:tblGrid>
      <w:tr w:rsidR="00EE1BB2" w:rsidRPr="00732FE7" w:rsidTr="00732FE7">
        <w:tc>
          <w:tcPr>
            <w:tcW w:w="9212" w:type="dxa"/>
            <w:gridSpan w:val="2"/>
            <w:shd w:val="clear" w:color="auto" w:fill="auto"/>
          </w:tcPr>
          <w:p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rsidR="00EE1BB2" w:rsidRPr="00EE1BB2" w:rsidRDefault="00EE1BB2" w:rsidP="00732FE7">
            <w:pPr>
              <w:spacing w:after="0"/>
            </w:pPr>
            <w:r w:rsidRPr="00EE1BB2">
              <w:t>Ausbildungsjahr:</w:t>
            </w:r>
            <w:r w:rsidR="00203EAE">
              <w:t xml:space="preserve"> 1</w:t>
            </w:r>
          </w:p>
          <w:p w:rsidR="00EE1BB2" w:rsidRPr="00EE1BB2" w:rsidRDefault="00EE1BB2" w:rsidP="00732FE7">
            <w:pPr>
              <w:spacing w:after="0"/>
            </w:pPr>
            <w:r w:rsidRPr="00EE1BB2">
              <w:t>Lernfeld Nr.:</w:t>
            </w:r>
            <w:r w:rsidR="00203EAE">
              <w:t xml:space="preserve"> </w:t>
            </w:r>
            <w:r w:rsidR="0000228A">
              <w:t>3</w:t>
            </w:r>
            <w:r w:rsidR="0000228A" w:rsidRPr="00EE1BB2">
              <w:t xml:space="preserve"> Ökologische</w:t>
            </w:r>
            <w:r w:rsidR="00203EAE" w:rsidRPr="00203EAE">
              <w:t xml:space="preserve"> Kreisläufe schützen und Belastungen minimieren</w:t>
            </w:r>
            <w:r w:rsidRPr="00EE1BB2">
              <w:t xml:space="preserve"> </w:t>
            </w:r>
            <w:r w:rsidR="0000228A">
              <w:t>(</w:t>
            </w:r>
            <w:r w:rsidR="0033550C">
              <w:t>60</w:t>
            </w:r>
            <w:r w:rsidRPr="00EE1BB2">
              <w:t>)</w:t>
            </w:r>
          </w:p>
          <w:p w:rsidR="00EE1BB2" w:rsidRPr="00732FE7" w:rsidRDefault="00EE1BB2" w:rsidP="00732FE7">
            <w:pPr>
              <w:spacing w:after="0"/>
              <w:rPr>
                <w:b/>
              </w:rPr>
            </w:pPr>
            <w:r w:rsidRPr="00EE1BB2">
              <w:t xml:space="preserve">Lernsituation Nr.: </w:t>
            </w:r>
            <w:r w:rsidR="0033550C">
              <w:t>1</w:t>
            </w:r>
            <w:r w:rsidRPr="00EE1BB2">
              <w:t xml:space="preserve"> </w:t>
            </w:r>
            <w:r>
              <w:t xml:space="preserve">    </w:t>
            </w:r>
            <w:r w:rsidR="007A6602" w:rsidRPr="007A6602">
              <w:t>Ökologische Kreisläufe schützen und Belastungen minimieren</w:t>
            </w:r>
            <w:r>
              <w:t xml:space="preserve"> </w:t>
            </w:r>
            <w:r w:rsidRPr="00732FE7">
              <w:rPr>
                <w:vertAlign w:val="superscript"/>
              </w:rPr>
              <w:t>2</w:t>
            </w:r>
            <w:r w:rsidRPr="00EE1BB2">
              <w:t xml:space="preserve"> (Zeitrichtwert</w:t>
            </w:r>
            <w:r w:rsidR="0033550C">
              <w:t>:60h</w:t>
            </w:r>
            <w:r w:rsidRPr="00732FE7">
              <w:rPr>
                <w:vertAlign w:val="superscript"/>
              </w:rPr>
              <w:t>3</w:t>
            </w:r>
            <w:r w:rsidRPr="00EE1BB2">
              <w:t>)</w:t>
            </w:r>
          </w:p>
        </w:tc>
      </w:tr>
      <w:tr w:rsidR="00EE1BB2" w:rsidRPr="00732FE7" w:rsidTr="00732FE7">
        <w:tc>
          <w:tcPr>
            <w:tcW w:w="4606" w:type="dxa"/>
            <w:shd w:val="clear" w:color="auto" w:fill="auto"/>
          </w:tcPr>
          <w:p w:rsidR="00EE1BB2" w:rsidRDefault="00EE1BB2" w:rsidP="008E6A1A">
            <w:pPr>
              <w:spacing w:after="0"/>
              <w:rPr>
                <w:b/>
              </w:rPr>
            </w:pPr>
            <w:r w:rsidRPr="00732FE7">
              <w:rPr>
                <w:b/>
              </w:rPr>
              <w:t>Handlungssituation</w:t>
            </w:r>
            <w:r w:rsidRPr="00732FE7">
              <w:rPr>
                <w:b/>
                <w:vertAlign w:val="superscript"/>
              </w:rPr>
              <w:t>4</w:t>
            </w:r>
            <w:r w:rsidRPr="00732FE7">
              <w:rPr>
                <w:b/>
              </w:rPr>
              <w:t>:</w:t>
            </w:r>
          </w:p>
          <w:p w:rsidR="006E135B" w:rsidRDefault="006E135B" w:rsidP="008E6A1A">
            <w:pPr>
              <w:spacing w:after="0"/>
            </w:pPr>
            <w:r w:rsidRPr="006E135B">
              <w:rPr>
                <w:b/>
                <w:bCs/>
              </w:rPr>
              <w:t xml:space="preserve">Szenario </w:t>
            </w:r>
            <w:r w:rsidR="0000228A" w:rsidRPr="006E135B">
              <w:rPr>
                <w:b/>
                <w:bCs/>
              </w:rPr>
              <w:t>1</w:t>
            </w:r>
            <w:r w:rsidR="0000228A">
              <w:t>: Der</w:t>
            </w:r>
            <w:r w:rsidR="00017B81">
              <w:t xml:space="preserve"> Vorfluter einer Kläranlage weist hohe Schadstoffwerte auf</w:t>
            </w:r>
            <w:r>
              <w:t>.</w:t>
            </w:r>
          </w:p>
          <w:p w:rsidR="006E135B" w:rsidRDefault="006E135B" w:rsidP="008E6A1A">
            <w:pPr>
              <w:spacing w:after="0"/>
            </w:pPr>
            <w:r w:rsidRPr="006E135B">
              <w:rPr>
                <w:b/>
                <w:bCs/>
              </w:rPr>
              <w:t>Szenario 2:</w:t>
            </w:r>
            <w:r>
              <w:t xml:space="preserve"> </w:t>
            </w:r>
            <w:r w:rsidR="00237381">
              <w:t xml:space="preserve">Durch starke Regenfälle </w:t>
            </w:r>
            <w:r w:rsidR="0000228A">
              <w:t>auf einen unsachgemäß gelagerten Schutthaufen</w:t>
            </w:r>
            <w:r w:rsidR="00237381">
              <w:t xml:space="preserve"> gelangen Schadstoffe ins Grundwasser</w:t>
            </w:r>
          </w:p>
          <w:p w:rsidR="006E135B" w:rsidRDefault="006E135B" w:rsidP="008E6A1A">
            <w:pPr>
              <w:spacing w:after="0"/>
            </w:pPr>
          </w:p>
          <w:p w:rsidR="00237381" w:rsidRDefault="00237381" w:rsidP="008E6A1A">
            <w:pPr>
              <w:spacing w:after="0"/>
            </w:pPr>
            <w:r>
              <w:t>Das Wasserwerk stellt bei einer Routine-Beprobung erhöhte Schadstoffwerte fest.</w:t>
            </w:r>
          </w:p>
          <w:p w:rsidR="00237381" w:rsidRDefault="00237381" w:rsidP="008E6A1A">
            <w:pPr>
              <w:spacing w:after="0"/>
            </w:pPr>
            <w:r>
              <w:t>Der Verursacher war der Betrieb selbst und möchte jetzt mit einem Tag der offenen Tür seine Akzeptanz innerhalb der Bevölkerung und bei der Stadt/ beim Landkreis wiederherstellen.</w:t>
            </w:r>
          </w:p>
          <w:p w:rsidR="00203EAE" w:rsidRPr="00B56B42" w:rsidRDefault="00017B81" w:rsidP="008E6A1A">
            <w:pPr>
              <w:spacing w:after="0"/>
            </w:pPr>
            <w:r>
              <w:t>D</w:t>
            </w:r>
            <w:r w:rsidR="00203EAE" w:rsidRPr="00B56B42">
              <w:t>ie Schülerinnen und Schüler sollen den Tag der offenen Tür in ihrer umwelttechnischen Anlage gestalten und die Bevölkerung mit der Wirkung umwelttechnischer Anlagen auf den Naturhaushalt vertraut machen.</w:t>
            </w:r>
          </w:p>
          <w:p w:rsidR="0033550C" w:rsidRPr="0033550C" w:rsidRDefault="008D5F87" w:rsidP="008E6A1A">
            <w:pPr>
              <w:spacing w:after="0"/>
            </w:pPr>
            <w:r w:rsidRPr="00B56B42">
              <w:t>Im Zuge dessen soll geklärt werden, w</w:t>
            </w:r>
            <w:r w:rsidR="00203EAE" w:rsidRPr="00B56B42">
              <w:t>elche Aufgaben die umwelttechnische</w:t>
            </w:r>
            <w:r w:rsidRPr="00B56B42">
              <w:t>n</w:t>
            </w:r>
            <w:r w:rsidR="00203EAE" w:rsidRPr="00B56B42">
              <w:t xml:space="preserve"> Berufe </w:t>
            </w:r>
            <w:r w:rsidRPr="00B56B42">
              <w:t>auf die Ökosysteme haben</w:t>
            </w:r>
            <w:r w:rsidR="00B670BE">
              <w:t xml:space="preserve"> und wie man </w:t>
            </w:r>
            <w:r w:rsidR="00B670BE" w:rsidRPr="00B670BE">
              <w:t>Belastungen minimieren</w:t>
            </w:r>
            <w:r w:rsidRPr="00B56B42">
              <w:t xml:space="preserve"> </w:t>
            </w:r>
            <w:r w:rsidR="00B670BE">
              <w:t>kann.</w:t>
            </w:r>
            <w:r w:rsidR="00DE6950">
              <w:t xml:space="preserve"> Erweitert soll überlegt werden, wie Prozesse optimiert werden können. </w:t>
            </w:r>
            <w:r w:rsidR="00B670BE">
              <w:t xml:space="preserve"> </w:t>
            </w:r>
            <w:r w:rsidRPr="00B56B42">
              <w:t>Hierbei sollen ökologischen Kreisläufe betrachtet werden.</w:t>
            </w:r>
          </w:p>
        </w:tc>
        <w:tc>
          <w:tcPr>
            <w:tcW w:w="4606" w:type="dxa"/>
            <w:shd w:val="clear" w:color="auto" w:fill="auto"/>
          </w:tcPr>
          <w:p w:rsidR="00EE1BB2" w:rsidRDefault="00EE1BB2" w:rsidP="008E6A1A">
            <w:pPr>
              <w:spacing w:after="0"/>
              <w:rPr>
                <w:b/>
              </w:rPr>
            </w:pPr>
            <w:r w:rsidRPr="00732FE7">
              <w:rPr>
                <w:b/>
              </w:rPr>
              <w:t>Handlungsergebnis</w:t>
            </w:r>
            <w:r w:rsidRPr="00732FE7">
              <w:rPr>
                <w:b/>
                <w:vertAlign w:val="superscript"/>
              </w:rPr>
              <w:t>5</w:t>
            </w:r>
            <w:r w:rsidRPr="00732FE7">
              <w:rPr>
                <w:b/>
              </w:rPr>
              <w:t>:</w:t>
            </w:r>
          </w:p>
          <w:p w:rsidR="0033550C" w:rsidRPr="00B56B42" w:rsidRDefault="0033550C" w:rsidP="006E135B">
            <w:pPr>
              <w:numPr>
                <w:ilvl w:val="0"/>
                <w:numId w:val="1"/>
              </w:numPr>
              <w:spacing w:after="0"/>
            </w:pPr>
            <w:r>
              <w:t>Zusammenhänge visualisieren</w:t>
            </w:r>
            <w:r w:rsidR="006E135B">
              <w:t xml:space="preserve"> (</w:t>
            </w:r>
            <w:r w:rsidR="006E135B" w:rsidRPr="00B56B42">
              <w:t>Beziehung der umwelttechnischen Berufe untereinander</w:t>
            </w:r>
            <w:r w:rsidR="006E135B">
              <w:t xml:space="preserve">, sowie </w:t>
            </w:r>
            <w:r w:rsidR="0000228A">
              <w:t>ökologische</w:t>
            </w:r>
            <w:r w:rsidR="006E135B">
              <w:t xml:space="preserve"> und </w:t>
            </w:r>
            <w:r w:rsidR="0000228A">
              <w:t>anthropogene</w:t>
            </w:r>
            <w:r w:rsidR="006E135B">
              <w:t xml:space="preserve"> Faktoren…)</w:t>
            </w:r>
          </w:p>
          <w:p w:rsidR="008D5F87" w:rsidRPr="00732FE7" w:rsidRDefault="006E135B" w:rsidP="006E135B">
            <w:pPr>
              <w:spacing w:after="0"/>
              <w:ind w:left="720"/>
              <w:rPr>
                <w:b/>
              </w:rPr>
            </w:pPr>
            <w:r>
              <w:sym w:font="Wingdings" w:char="F0E0"/>
            </w:r>
            <w:r>
              <w:t xml:space="preserve"> </w:t>
            </w:r>
            <w:r w:rsidR="008D5F87" w:rsidRPr="00B56B42">
              <w:t xml:space="preserve">Ergebnispräsentation mit unterschiedlichen </w:t>
            </w:r>
            <w:r w:rsidR="0033550C">
              <w:t xml:space="preserve">(digitalen) </w:t>
            </w:r>
            <w:r w:rsidR="008D5F87" w:rsidRPr="00B56B42">
              <w:t>Medien (Flyer, Infovideo, Broschüren, Plakate, Power-Point, …)</w:t>
            </w:r>
          </w:p>
        </w:tc>
      </w:tr>
      <w:tr w:rsidR="00EE1BB2" w:rsidRPr="00B56B42" w:rsidTr="00732FE7">
        <w:tc>
          <w:tcPr>
            <w:tcW w:w="4606" w:type="dxa"/>
            <w:shd w:val="clear" w:color="auto" w:fill="auto"/>
          </w:tcPr>
          <w:p w:rsidR="00051610" w:rsidRPr="00B56B42" w:rsidRDefault="00051610" w:rsidP="008E6A1A">
            <w:pPr>
              <w:spacing w:after="0"/>
              <w:rPr>
                <w:b/>
              </w:rPr>
            </w:pPr>
            <w:r w:rsidRPr="00B56B42">
              <w:rPr>
                <w:b/>
              </w:rPr>
              <w:lastRenderedPageBreak/>
              <w:t>Berufliche Handlungskompetenz</w:t>
            </w:r>
            <w:r w:rsidRPr="00B56B42">
              <w:rPr>
                <w:b/>
                <w:vertAlign w:val="superscript"/>
              </w:rPr>
              <w:t>6</w:t>
            </w:r>
            <w:r w:rsidRPr="00B56B42">
              <w:rPr>
                <w:b/>
              </w:rPr>
              <w:t xml:space="preserve"> als </w:t>
            </w:r>
          </w:p>
          <w:p w:rsidR="00EE1BB2" w:rsidRPr="00B56B42" w:rsidRDefault="00051610" w:rsidP="008E6A1A">
            <w:pPr>
              <w:spacing w:after="0"/>
              <w:rPr>
                <w:b/>
                <w:vertAlign w:val="superscript"/>
              </w:rPr>
            </w:pPr>
            <w:r w:rsidRPr="00B56B42">
              <w:rPr>
                <w:b/>
              </w:rPr>
              <w:t>vollständige Handlung</w:t>
            </w:r>
            <w:r w:rsidRPr="00B56B42">
              <w:rPr>
                <w:b/>
                <w:vertAlign w:val="superscript"/>
              </w:rPr>
              <w:t>7</w:t>
            </w:r>
          </w:p>
          <w:p w:rsidR="00B56B42" w:rsidRPr="00B56B42" w:rsidRDefault="00B56B42" w:rsidP="008E6A1A">
            <w:pPr>
              <w:spacing w:after="0"/>
            </w:pPr>
          </w:p>
          <w:p w:rsidR="00B56B42" w:rsidRPr="00B56B42" w:rsidRDefault="00B56B42" w:rsidP="008E6A1A">
            <w:pPr>
              <w:spacing w:after="0"/>
            </w:pPr>
            <w:r w:rsidRPr="00B56B42">
              <w:t>Wesentliche Kompetenzen</w:t>
            </w:r>
          </w:p>
          <w:p w:rsidR="00B56B4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analysieren die berufsspezifische Handlungssituation, identifizieren inhaltliche Schwerpunkte (anthropogene Einflüsse, Kreisläufe…)</w:t>
            </w:r>
          </w:p>
          <w:p w:rsidR="008255C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machen sich mit Einwirkungen auf ökologische Kreisläufe vertraut, informieren sich außerdem über Möglichkeiten Umweltbelastungen zu minimieren und Technologien zur Energieerzeugung</w:t>
            </w:r>
          </w:p>
          <w:p w:rsidR="008255C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planen eine Möglichkeit zur Adressatengerechten Präsentation (digital, Plakat, Flyer…) der Inhalte</w:t>
            </w:r>
          </w:p>
          <w:p w:rsidR="008255C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entscheiden final welche Inhalte, in welcher Form zu präsentieren sind</w:t>
            </w:r>
          </w:p>
          <w:p w:rsidR="008255C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präsentieren ihre erarbeiteten Ergebnisse</w:t>
            </w:r>
          </w:p>
          <w:p w:rsidR="008255C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kontrollieren und Bewerten ihr Handlungsprodukt durch Rückmeldung der MitschülerInnen in der Vortragssituation</w:t>
            </w:r>
          </w:p>
          <w:p w:rsidR="008255C2" w:rsidRPr="008255C2" w:rsidRDefault="008255C2" w:rsidP="008255C2">
            <w:pPr>
              <w:numPr>
                <w:ilvl w:val="0"/>
                <w:numId w:val="3"/>
              </w:numPr>
              <w:spacing w:after="0"/>
              <w:rPr>
                <w:sz w:val="20"/>
                <w:szCs w:val="20"/>
              </w:rPr>
            </w:pPr>
            <w:proofErr w:type="spellStart"/>
            <w:r w:rsidRPr="00FD5FB6">
              <w:rPr>
                <w:sz w:val="20"/>
                <w:szCs w:val="20"/>
              </w:rPr>
              <w:t>SuS</w:t>
            </w:r>
            <w:proofErr w:type="spellEnd"/>
            <w:r w:rsidRPr="00FD5FB6">
              <w:rPr>
                <w:sz w:val="20"/>
                <w:szCs w:val="20"/>
              </w:rPr>
              <w:t xml:space="preserve"> reflektieren über das gesamte Projekt ihre eigenen Handlungen</w:t>
            </w:r>
            <w:r w:rsidRPr="00FD5FB6">
              <w:rPr>
                <w:sz w:val="20"/>
                <w:szCs w:val="20"/>
              </w:rPr>
              <w:br/>
              <w:t>(Analysieren, planen, entscheiden, durchführen und kontrollieren/bewerten)</w:t>
            </w:r>
          </w:p>
        </w:tc>
        <w:tc>
          <w:tcPr>
            <w:tcW w:w="4606" w:type="dxa"/>
            <w:shd w:val="clear" w:color="auto" w:fill="auto"/>
          </w:tcPr>
          <w:p w:rsidR="00EE1BB2" w:rsidRPr="00B56B42" w:rsidRDefault="00051610" w:rsidP="008E6A1A">
            <w:pPr>
              <w:spacing w:after="0"/>
              <w:rPr>
                <w:b/>
              </w:rPr>
            </w:pPr>
            <w:r w:rsidRPr="00B56B42">
              <w:rPr>
                <w:b/>
              </w:rPr>
              <w:t>Konkretisierung der Inhalte</w:t>
            </w:r>
            <w:r w:rsidRPr="00B56B42">
              <w:rPr>
                <w:b/>
                <w:vertAlign w:val="superscript"/>
              </w:rPr>
              <w:t>8</w:t>
            </w:r>
            <w:r w:rsidRPr="00B56B42">
              <w:rPr>
                <w:b/>
              </w:rPr>
              <w:t xml:space="preserve">: </w:t>
            </w:r>
          </w:p>
          <w:p w:rsidR="00AB4BA5" w:rsidRPr="00B56B42" w:rsidRDefault="00AB4BA5" w:rsidP="008E6A1A">
            <w:pPr>
              <w:numPr>
                <w:ilvl w:val="0"/>
                <w:numId w:val="1"/>
              </w:numPr>
              <w:spacing w:after="0"/>
            </w:pPr>
            <w:r w:rsidRPr="00B56B42">
              <w:t>Wasserkreislauf und anthropogene Einflüsse</w:t>
            </w:r>
          </w:p>
          <w:p w:rsidR="006E135B" w:rsidRDefault="006E135B" w:rsidP="006E135B">
            <w:pPr>
              <w:numPr>
                <w:ilvl w:val="0"/>
                <w:numId w:val="1"/>
              </w:numPr>
              <w:spacing w:after="0"/>
            </w:pPr>
            <w:r>
              <w:t>Beziehung der umwelttechnischen Berufe untereinander</w:t>
            </w:r>
          </w:p>
          <w:p w:rsidR="00AB4BA5" w:rsidRPr="00B56B42" w:rsidRDefault="00AB4BA5" w:rsidP="008E6A1A">
            <w:pPr>
              <w:numPr>
                <w:ilvl w:val="0"/>
                <w:numId w:val="1"/>
              </w:numPr>
              <w:spacing w:after="0"/>
            </w:pPr>
            <w:r w:rsidRPr="00B56B42">
              <w:t xml:space="preserve">Grundbegriffe Ökologie (Ökosysteme, abiotisch, biotisch, Biozönose, Biotop, </w:t>
            </w:r>
            <w:r w:rsidR="0000228A" w:rsidRPr="00B56B42">
              <w:t>Eutrophierung, …</w:t>
            </w:r>
            <w:r w:rsidRPr="00B56B42">
              <w:t>)</w:t>
            </w:r>
          </w:p>
          <w:p w:rsidR="00AB4BA5" w:rsidRPr="00B56B42" w:rsidRDefault="00AB4BA5" w:rsidP="008E6A1A">
            <w:pPr>
              <w:numPr>
                <w:ilvl w:val="0"/>
                <w:numId w:val="1"/>
              </w:numPr>
              <w:spacing w:after="0"/>
            </w:pPr>
            <w:r w:rsidRPr="00B56B42">
              <w:t>Unterschiede nat</w:t>
            </w:r>
            <w:r w:rsidRPr="00B56B42">
              <w:rPr>
                <w:rFonts w:cs="Arial"/>
              </w:rPr>
              <w:t>ü</w:t>
            </w:r>
            <w:r w:rsidRPr="00B56B42">
              <w:t xml:space="preserve">rliche/künstliche Ökosysteme </w:t>
            </w:r>
          </w:p>
          <w:p w:rsidR="00AB4BA5" w:rsidRPr="00B56B42" w:rsidRDefault="00AB4BA5" w:rsidP="008E6A1A">
            <w:pPr>
              <w:numPr>
                <w:ilvl w:val="0"/>
                <w:numId w:val="1"/>
              </w:numPr>
              <w:spacing w:after="0"/>
            </w:pPr>
            <w:r w:rsidRPr="00B56B42">
              <w:t>Stickstoffkreislauf</w:t>
            </w:r>
          </w:p>
          <w:p w:rsidR="00AB4BA5" w:rsidRPr="00B56B42" w:rsidRDefault="00AB4BA5" w:rsidP="008E6A1A">
            <w:pPr>
              <w:numPr>
                <w:ilvl w:val="0"/>
                <w:numId w:val="1"/>
              </w:numPr>
              <w:spacing w:after="0"/>
            </w:pPr>
            <w:r w:rsidRPr="00B56B42">
              <w:t>Wasserkreislauf</w:t>
            </w:r>
          </w:p>
          <w:p w:rsidR="00AB4BA5" w:rsidRPr="00B56B42" w:rsidRDefault="00AB4BA5" w:rsidP="008E6A1A">
            <w:pPr>
              <w:numPr>
                <w:ilvl w:val="0"/>
                <w:numId w:val="1"/>
              </w:numPr>
              <w:spacing w:after="0"/>
            </w:pPr>
            <w:r w:rsidRPr="00B56B42">
              <w:t>Kohlenstoffkreislauf (C/CO</w:t>
            </w:r>
            <w:r w:rsidRPr="00B56B42">
              <w:rPr>
                <w:vertAlign w:val="subscript"/>
              </w:rPr>
              <w:t>2</w:t>
            </w:r>
            <w:r w:rsidRPr="00B56B42">
              <w:t>)</w:t>
            </w:r>
          </w:p>
          <w:p w:rsidR="00AB4BA5" w:rsidRPr="00B56B42" w:rsidRDefault="00AB4BA5" w:rsidP="008E6A1A">
            <w:pPr>
              <w:numPr>
                <w:ilvl w:val="0"/>
                <w:numId w:val="1"/>
              </w:numPr>
              <w:spacing w:after="0"/>
            </w:pPr>
            <w:r w:rsidRPr="00B56B42">
              <w:t>Einfl</w:t>
            </w:r>
            <w:r w:rsidRPr="00B56B42">
              <w:rPr>
                <w:rFonts w:cs="Arial"/>
              </w:rPr>
              <w:t>ü</w:t>
            </w:r>
            <w:r w:rsidRPr="00B56B42">
              <w:t>sse durch Landwirtschaft</w:t>
            </w:r>
          </w:p>
          <w:p w:rsidR="00AB4BA5" w:rsidRPr="00B56B42" w:rsidRDefault="00AB4BA5" w:rsidP="008E6A1A">
            <w:pPr>
              <w:numPr>
                <w:ilvl w:val="0"/>
                <w:numId w:val="1"/>
              </w:numPr>
              <w:spacing w:after="0"/>
            </w:pPr>
            <w:r w:rsidRPr="00B56B42">
              <w:t>Einfl</w:t>
            </w:r>
            <w:r w:rsidRPr="00B56B42">
              <w:rPr>
                <w:rFonts w:cs="Arial"/>
              </w:rPr>
              <w:t>ü</w:t>
            </w:r>
            <w:r w:rsidRPr="00B56B42">
              <w:t>sse des Klimawandels auf die Wasserversorgung</w:t>
            </w:r>
            <w:r w:rsidR="00B56B42">
              <w:t>/ Abwasser und Boden</w:t>
            </w:r>
          </w:p>
          <w:p w:rsidR="00AB4BA5" w:rsidRPr="00B56B42" w:rsidRDefault="00B56B42" w:rsidP="008E6A1A">
            <w:pPr>
              <w:numPr>
                <w:ilvl w:val="0"/>
                <w:numId w:val="1"/>
              </w:numPr>
              <w:spacing w:after="0"/>
            </w:pPr>
            <w:r>
              <w:t>Nachhaltigkeit</w:t>
            </w:r>
            <w:r w:rsidR="00AB4BA5" w:rsidRPr="00B56B42">
              <w:t xml:space="preserve"> und Ressourcenschonung</w:t>
            </w:r>
          </w:p>
        </w:tc>
      </w:tr>
      <w:tr w:rsidR="00EE1BB2" w:rsidRPr="00732FE7" w:rsidTr="00732FE7">
        <w:tc>
          <w:tcPr>
            <w:tcW w:w="9212" w:type="dxa"/>
            <w:gridSpan w:val="2"/>
            <w:shd w:val="clear" w:color="auto" w:fill="auto"/>
          </w:tcPr>
          <w:p w:rsidR="00EE1BB2" w:rsidRDefault="00051610" w:rsidP="00051610">
            <w:pPr>
              <w:rPr>
                <w:b/>
              </w:rPr>
            </w:pPr>
            <w:r w:rsidRPr="00732FE7">
              <w:rPr>
                <w:b/>
              </w:rPr>
              <w:t>Didaktisch-methodische Anregungen</w:t>
            </w:r>
            <w:r w:rsidRPr="00732FE7">
              <w:rPr>
                <w:b/>
                <w:vertAlign w:val="superscript"/>
              </w:rPr>
              <w:t>9</w:t>
            </w:r>
            <w:r w:rsidRPr="00732FE7">
              <w:rPr>
                <w:b/>
              </w:rPr>
              <w:t>:</w:t>
            </w:r>
          </w:p>
          <w:p w:rsidR="00B56B42" w:rsidRPr="00B56B42" w:rsidRDefault="00B56B42" w:rsidP="008E6A1A">
            <w:pPr>
              <w:numPr>
                <w:ilvl w:val="0"/>
                <w:numId w:val="1"/>
              </w:numPr>
              <w:spacing w:after="0"/>
            </w:pPr>
            <w:r w:rsidRPr="00B56B42">
              <w:t>arbeitsteilige Gruppenarbeit</w:t>
            </w:r>
          </w:p>
          <w:p w:rsidR="00B56B42" w:rsidRPr="00B56B42" w:rsidRDefault="00B56B42" w:rsidP="008E6A1A">
            <w:pPr>
              <w:numPr>
                <w:ilvl w:val="0"/>
                <w:numId w:val="1"/>
              </w:numPr>
              <w:spacing w:after="0"/>
            </w:pPr>
            <w:r w:rsidRPr="00B56B42">
              <w:t>Internetrecherche</w:t>
            </w:r>
          </w:p>
          <w:p w:rsidR="00B56B42" w:rsidRPr="00B56B42" w:rsidRDefault="006E135B" w:rsidP="008E6A1A">
            <w:pPr>
              <w:numPr>
                <w:ilvl w:val="0"/>
                <w:numId w:val="1"/>
              </w:numPr>
              <w:spacing w:after="0"/>
            </w:pPr>
            <w:proofErr w:type="spellStart"/>
            <w:r>
              <w:t>zB</w:t>
            </w:r>
            <w:proofErr w:type="spellEnd"/>
            <w:r>
              <w:t xml:space="preserve"> Plenumsdiskussion (</w:t>
            </w:r>
            <w:r w:rsidR="00B56B42" w:rsidRPr="00B56B42">
              <w:t>konstruktiv argumentieren</w:t>
            </w:r>
            <w:r>
              <w:t>)</w:t>
            </w:r>
          </w:p>
          <w:p w:rsidR="006E135B" w:rsidRPr="006E135B" w:rsidRDefault="006E135B" w:rsidP="006E135B">
            <w:pPr>
              <w:numPr>
                <w:ilvl w:val="0"/>
                <w:numId w:val="1"/>
              </w:numPr>
              <w:spacing w:after="0"/>
              <w:rPr>
                <w:b/>
              </w:rPr>
            </w:pPr>
            <w:r w:rsidRPr="0033550C">
              <w:t>Rollenspiel (kritische Fragen aus der Bevölkerung</w:t>
            </w:r>
            <w:r>
              <w:t xml:space="preserve"> vs. </w:t>
            </w:r>
            <w:r w:rsidR="0000228A">
              <w:t>Azubi</w:t>
            </w:r>
            <w:r w:rsidR="0000228A" w:rsidRPr="0033550C">
              <w:t>)</w:t>
            </w:r>
          </w:p>
          <w:p w:rsidR="0033550C" w:rsidRDefault="0033550C" w:rsidP="006E135B">
            <w:pPr>
              <w:numPr>
                <w:ilvl w:val="0"/>
                <w:numId w:val="1"/>
              </w:numPr>
              <w:spacing w:after="0"/>
            </w:pPr>
            <w:r>
              <w:t>Erstellung eines Handlungsproduktes</w:t>
            </w:r>
            <w:r w:rsidR="006E135B">
              <w:t xml:space="preserve"> (</w:t>
            </w:r>
            <w:r w:rsidR="006E135B" w:rsidRPr="00B56B42">
              <w:t>Pr</w:t>
            </w:r>
            <w:r w:rsidR="006E135B" w:rsidRPr="00B56B42">
              <w:rPr>
                <w:rFonts w:cs="Arial"/>
              </w:rPr>
              <w:t>ä</w:t>
            </w:r>
            <w:r w:rsidR="006E135B" w:rsidRPr="00B56B42">
              <w:t>sentation</w:t>
            </w:r>
            <w:r w:rsidR="006E135B">
              <w:t>)</w:t>
            </w:r>
          </w:p>
          <w:p w:rsidR="0033550C" w:rsidRDefault="0033550C" w:rsidP="0033550C">
            <w:pPr>
              <w:numPr>
                <w:ilvl w:val="0"/>
                <w:numId w:val="1"/>
              </w:numPr>
              <w:spacing w:after="0"/>
            </w:pPr>
            <w:r>
              <w:t>Zusammenhänge visualisieren</w:t>
            </w:r>
            <w:r w:rsidR="006E135B">
              <w:t xml:space="preserve"> (</w:t>
            </w:r>
            <w:proofErr w:type="spellStart"/>
            <w:r w:rsidR="006E135B">
              <w:t>M</w:t>
            </w:r>
            <w:r w:rsidR="0000228A">
              <w:t>i</w:t>
            </w:r>
            <w:r w:rsidR="006E135B">
              <w:t>ndMaps</w:t>
            </w:r>
            <w:proofErr w:type="spellEnd"/>
            <w:r w:rsidR="006E135B">
              <w:t xml:space="preserve">, </w:t>
            </w:r>
            <w:proofErr w:type="spellStart"/>
            <w:r w:rsidR="006E135B">
              <w:t>ConceptMap</w:t>
            </w:r>
            <w:proofErr w:type="spellEnd"/>
            <w:r w:rsidR="006E135B">
              <w:t>, Wirkungsgefüge)</w:t>
            </w:r>
          </w:p>
          <w:p w:rsidR="0033550C" w:rsidRPr="0033550C" w:rsidRDefault="0033550C" w:rsidP="0033550C">
            <w:pPr>
              <w:numPr>
                <w:ilvl w:val="0"/>
                <w:numId w:val="1"/>
              </w:numPr>
              <w:spacing w:after="0"/>
            </w:pPr>
            <w:r>
              <w:t>Ergebnispräsentation mit unterschiedlichen (digitalen) Medien (Flyer, Infovideo, Broschüren, Plakate, Power-Point, …)</w:t>
            </w:r>
          </w:p>
        </w:tc>
      </w:tr>
    </w:tbl>
    <w:p w:rsidR="00051610" w:rsidRDefault="00051610">
      <w:pPr>
        <w:rPr>
          <w:b/>
        </w:rPr>
      </w:pPr>
    </w:p>
    <w:p w:rsidR="00051610" w:rsidRDefault="00051610">
      <w:pPr>
        <w:rPr>
          <w:b/>
        </w:rPr>
      </w:pPr>
      <w:r>
        <w:rPr>
          <w:b/>
        </w:rPr>
        <w:t>_____________</w:t>
      </w:r>
    </w:p>
    <w:tbl>
      <w:tblPr>
        <w:tblW w:w="0" w:type="auto"/>
        <w:tblLook w:val="04A0" w:firstRow="1" w:lastRow="0" w:firstColumn="1" w:lastColumn="0" w:noHBand="0" w:noVBand="1"/>
      </w:tblPr>
      <w:tblGrid>
        <w:gridCol w:w="529"/>
        <w:gridCol w:w="8543"/>
      </w:tblGrid>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lastRenderedPageBreak/>
              <w:t>6</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7</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9</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051610" w:rsidRPr="00EE1BB2" w:rsidRDefault="00051610">
      <w:pPr>
        <w:rPr>
          <w:b/>
        </w:rPr>
      </w:pPr>
    </w:p>
    <w:sectPr w:rsidR="00051610" w:rsidRPr="00EE1BB2" w:rsidSect="004B0F58">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FB"/>
    <w:multiLevelType w:val="hybridMultilevel"/>
    <w:tmpl w:val="C88427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1894677"/>
    <w:multiLevelType w:val="hybridMultilevel"/>
    <w:tmpl w:val="F48EA182"/>
    <w:lvl w:ilvl="0" w:tplc="340045B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8E284B"/>
    <w:multiLevelType w:val="hybridMultilevel"/>
    <w:tmpl w:val="4A7A8D08"/>
    <w:lvl w:ilvl="0" w:tplc="FA4836A2">
      <w:numFmt w:val="bullet"/>
      <w:lvlText w:val=""/>
      <w:lvlJc w:val="left"/>
      <w:pPr>
        <w:ind w:left="360" w:hanging="360"/>
      </w:pPr>
      <w:rPr>
        <w:rFonts w:ascii="Wingdings" w:eastAsia="Calibri"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0228A"/>
    <w:rsid w:val="00017B81"/>
    <w:rsid w:val="00051610"/>
    <w:rsid w:val="00203EAE"/>
    <w:rsid w:val="00237381"/>
    <w:rsid w:val="00286BA3"/>
    <w:rsid w:val="002870B0"/>
    <w:rsid w:val="0033550C"/>
    <w:rsid w:val="0048606B"/>
    <w:rsid w:val="004B0F58"/>
    <w:rsid w:val="00592F01"/>
    <w:rsid w:val="006A70FA"/>
    <w:rsid w:val="006E135B"/>
    <w:rsid w:val="00717A7B"/>
    <w:rsid w:val="00732FE7"/>
    <w:rsid w:val="0073653E"/>
    <w:rsid w:val="00785346"/>
    <w:rsid w:val="007A6602"/>
    <w:rsid w:val="007E509E"/>
    <w:rsid w:val="008255C2"/>
    <w:rsid w:val="008D5F87"/>
    <w:rsid w:val="008E6A1A"/>
    <w:rsid w:val="008F3071"/>
    <w:rsid w:val="00A77419"/>
    <w:rsid w:val="00AB4BA5"/>
    <w:rsid w:val="00B27100"/>
    <w:rsid w:val="00B56B42"/>
    <w:rsid w:val="00B670BE"/>
    <w:rsid w:val="00D06A73"/>
    <w:rsid w:val="00DE6950"/>
    <w:rsid w:val="00EE1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B259"/>
  <w15:chartTrackingRefBased/>
  <w15:docId w15:val="{49220139-8F45-48A8-AD45-2B93CC32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LF3</dc:creator>
  <cp:keywords/>
  <cp:lastModifiedBy>Müller, Lena</cp:lastModifiedBy>
  <cp:revision>3</cp:revision>
  <dcterms:created xsi:type="dcterms:W3CDTF">2024-04-23T13:53:00Z</dcterms:created>
  <dcterms:modified xsi:type="dcterms:W3CDTF">2024-06-12T09:19:00Z</dcterms:modified>
</cp:coreProperties>
</file>